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ФИО2, обвиняемого в совершении преступления, предусмотренного ч.1 ст. 264 УК РФ , по ст. 25 УПК РФ –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Мера пресечения в отношении ФИО2 не избиралась.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подсудимому, потерпевшей и ее представителю, защитнику и Рыбинскому городскому прокурору. Настоящее постановление может быть обжаловано в Ярославский областной суд через Рыбинский городской суд в течение 10 суток со дня его вынесения. Судья Грицай Е.В. Суд: Рыбинский городской суд (Ярославская область) (подробнее) Судьи дела: Грицай Е.В. (судья) (подробнее) Последние документы по делу: Приговор от 28 декабря 2017 г. по делу № 1-294/2017 Приговор от 25 декабря 2017 г. по делу № 1-294/2017 Постановление от 29 июня 2017 г. по делу № 1-294/2017 Показать все документы по этому делу Судебная практика по: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