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Сумку из кожзаменителя черного цвета стоимостью 1192 рубля (одна тысяча сто девяносто два) рубля 00 копеек;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Кошелек из кожзаменителя розового цвета стоимостью 960 (Девятьсот шестьдесят) рублей 00 копеек;3. Денежные средства в сумме 7100 рублей, бумажными купюрами достоинством 1000 рублей в количестве 6 штук и бумажными купюрами достоинством 100 рублей в количестве 11 штук, а всего денежных средств и имущества на сумму 9252 рубля. После чего ФИО1, с похищенным скрылся с места преступления, распорядившись им впоследствии по своему усмотрению, доведя тем самым свой преступный умысел до конца. Своими преступными действиями ФИО1 причинил Потерпевший №1 значительный материальный ущерб на общую сумму 9252 рубля. Потерпевшая Потерпевший №1 обратилась с заявлением, в котором просит прекратить уголовное дело за примирением с подсудимым, который загладил свою вину и возместил ущерб. ФИО1 совершил преступление средней тяжести впервые, вину признал, в содеянном раскаялся, по месту жительства характеризуется удовлетворительно, против прекращения дела за примирением сторон не возражает. Государственный обвинитель, защитник, также не возражают против заявления потерпевшей о прекращении дела. Согласно ст. 76 УК РФ , лицо, впервые совершившее преступление небольшой или средней тяжести может быть освобождено от уголовной ответственности, если примирилось с потерпевшим и загладило причиненный ему вред. Согласно ст. 25 УПК РФ , суд на основании заявления потерпевшего вправе прекратить уголовное дело в отношении лица обвиняемого в совершении преступления небольшой или средней тяжести в случаях предусмотренных ст. 76 УК РФ , если это лицо примирилось с потерпевшим и загладило причиненный ему вред. В судебном заседании установлено, что между подсудимым ФИО1 и потерпевшей Потерпевший №1, достигнуто примирение, причиненный вред подсудимый загладил, поэтому имеются основания для прекращения дела за примирением сторон. На основании изложенного и руководствуясь ст. (254) УПК РФ,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