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администрацию МО «Малгобекский муниципальный район» принять меры по внедрению информационной системы градостроительной деятельности при поступлении денежных средств. Решение может быть обжаловано сторонами в Верховный Суд Республики Ингушетия в апелляционном порядке в течение месяца. Председательствующая: подпись Копия верна: Судья Л.К. Цечоева Суд: Малгобекский городской суд (Республика Ингушетия) (подробнее) Истцы: Малгобекский городской прокурор (подробнее) Ответчики: Администрация МО " Городской округ г. Малгобек" (подробнее) Судьи дела: Цечоева Л.К.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