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Прекратить уголовное дело в отношении ФИО2, ФИО3, обвиняемых в совершении преступления, предусмотренного п.п. А.В. ч. 2 ст. 158 УК РФ , по ст. 25 УПК РФ – в связи с примирением сторон.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Меру пресечения в отношении ФИО2, ФИО3 в виде подписки о невыезде и надлежащем поведении отменить.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Вещественные доказательства: - 3 отрезка липкой ленты со следами пальцев рук, окурок сигареты, дактилокарты ФИО1, ФИО2 уничтожить; - оплетку рулевого колеса – вернуть по принадлежности ФИО1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Копию настоящего постановления направить обвиняемым, потерпевшему, защитникам и Рыбинскому городскому прокурору. Настоящее постановление может быть обжаловано в Ярославский областной суд через Рыбинский городской суд в течение 10 суток со дня его вынесения. Судья Грицай Е.В. Суд: Рыбинский городской суд (Ярославская область) (подробнее) Судьи дела: Грицай Е.В. (судья) (подробнее) Судебная практика по: По кражам Судебная практика по применению нормы ст. 158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