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ДД.ММ.ГГГГ по ДД.ММ.ГГГГ.,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ДД.ММ.ГГГГ по ДД.ММ.ГГГГ.,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ДД.ММ.ГГГГ по ДД.ММ.ГГГГ.,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ДД.ММ.ГГГГ по ДД.ММ.ГГГГ,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ДД.ММ.ГГГГ по ДД.ММ.ГГГГ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ДД.ММ.ГГГГ по ДД.ММ.ГГГГ.,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ДД.ММ.ГГГГ по ДД.ММ.ГГГГ. Таким образом, со дня совершения каждого указанного преступления небольшой тяжести, истекло два года. Подсудимый ФИО2, адвокат Рахимов, с позицией государственного обвинителя полностью согласны, в том числе согласны на прекращение уголовного дела в связи с истечением срока давности уголовного преследования. Таким образом, уголовное дело и уголовное преследование в отношении ФИО2 по предъявленному обвинению в совершении семи преступлений предусмотренных ч.1 ст. 292 УК РФ , подлежит прекращению в связи с истечением срока давности уголовного преследования, на основании п. 3 ч.1 ст. 24 УПК РФ . На основании изложенного, руководствуясь ст. , 254 УПК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