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судебного разбирательства суд вправе избрать, изменить или отменить меру пресечения в отношении подсудимого.2. Если заключение под стражу избрано подсудимому в качестве меры пресечения, то срок содержания его под стражей со дня поступления уголовного дела в суд и до вынесения приговора не может превышать 6 месяцев, за исключением случаев, предусмотренных частью третьей настоящей статьи. В соответствии с ч.ч.3 и 4 ст. 255 УПК РФ суд, в производстве которого находится уголовное дело, по истечении 6 месяцев со дня поступления уголовного дела в суд вправе продлить срок содержания подсудимого под стражей. При этом продление срока содержания под стражей допускается только по уголовным делам о тяжких и особо тяжких преступлениях и каждый раз не более чем на 3 месяца. Решение суда о продлении срока содержания подсудимого под стражей может быть обжаловано в апелляционном порядке. Обжалование не приостанавливает производство по уголовному делу. В соответствии со ст. 99 УПК РФ перечисленные в ней обстоятельства, подлежащие учету при принятии судьей решения о применении меры пресечения, должны оцениваться в их совокупности. ФИО1 обвиняется в совершении нескольких преступлений средней тяжести, продлевая меру пресечения в отношении него, суд учел характер и тяжесть инкриминируемых преступлений, обстоятельства совершаемых преступлений, отрицательные данные о личности подсудимого, который ранее многократно судим, возможные последствия в случае изменения меры пресечения, мотивировав свои выводы. Установление срока содержания под стражей осуществлено в порядке ст. 255 УПК РФ , то есть срок установлен с момента поступления дела в суд, поэтому доводы подсудимого о продление срока свыше 6 месяцев при особых условиях не состоятельны. Каких-либо медицинских данных о невозможности нахождения ФИО1 под страже в материалах дела не имеется. Нарушений процессуального закона, влекущих за собою отмену постановления судьи, нет. На основании изложенного и руководствуясь ст.ст. 389.20 , 389.33 УПК РФ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