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между гражданами должен быть заключен в письменной форме, если его сумма превышает не менее чем в десять раз установленный законом минимальный размер оплаты труда, а в случае, когда займодавцем является юридическое лицо, - независимо от суммы.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 В судебном заседании установлено, что между истцом и ответчиком было заключено два договора займа: &lt;дата&gt; на сумму 100000 руб., срок возврата до &lt;дата&gt;, &lt;дата&gt; на сумму 50000 руб., срок возврата до &lt;дата&gt; В подтверждение данных договоров займа ответчиком были написаны расписки. До настоящего времени денежные средства по вышеуказанным договорам займа ответчиком ФИО3 истцу ФИО2 не вовзращены. Доводы ответчика и его представителя о том, что денежные средства он вернул, что подтверждается показаниями свидетелей, суд находит несостоятельными, поскольку факт передачи денежных средств не может быть подтвержден свидетельскими показаниями. На основании вышеизложенного, суд находит взыскать с ФИО3 в пользу ФИО2 денежные средства в размере 150000 руб. Согласно ч. 1 ст. Гражданского процессуального кодекса РФ 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кодекса. В случае, если иск удовлетворен частично, указанные в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 В связи с предъявлением иска истец понес расходы по оплате госпошлины - 4200 руб., которые подтверждаются чеком от &lt;дата&gt;. Поскольку исковые требования истца суд нашел подлежащими удовлетворению, то с ответчика в пользу истца подлежит взысканию государственная пошлина в размере 4200 руб. Руководствуясь ст. , 198 ГПК РФ , суд р е ш и л : Взыскать с ФИО3 в пользу ФИО2 денежные средства в размере 150000 руб. и в счет возврата госпошлины 4200 руб., а всего 154200 руб. Решение может быть обжаловано в апелляционном порядке в Нижегородский областной суд через Арзамасский городской суд в течение 1 месяца со дня принятия его в окончательной форме. Судья Арзамасского городского суда Е.В. Гульовская. Суд: Арзамасский городской суд (Нижегородская область) (подробнее) Судьи дела: Гульовская Е.В. (судья) (подробнее) Последние документы по делу: Решение от 20 февраля 2019 г. по делу № 2-618/2018 Решение от 5 ноября 2018 г. по делу № 2-618/2018 Решение от 10 октября 2018 г. по делу № 2-618/2018 Решение от 6 мая 2018 г. по делу № 2-618/2018 Решение от 26 февраля 2018 г. по делу № 2-618/2018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