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судебного разбирательства суд вправе избрать, изменить или отменить меру пресечения в отношении подсудимого.2. Если заключение под стражу избрано подсудимому в качестве меры пресечения, то срок содержания его под стражей со дня поступления уголовного дела в суд и до вынесения приговора не может превышать 6 месяцев, за исключением случаев, предусмотренных частью третей настоящей статьи. В соответствии с ч.ч.3 и 4 ст. 255 УПК РФ суд, в производстве которого находится уголовное дело, по истечении 6 месяцев со дня поступления уголовного дела в суд вправе продлить срок содержания подсудимого под стражей.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месяца. Решение суда о продлении срока содержания подсудимого под стражей может быть обжаловано в апелляционном порядке. Обжалование не приостанавливает производство по уголовному делу. В соответствии со ст. 99 УПК РФ перечисленные в ней обстоятельства, подлежащие учету при принятии судьей решения о применении меры пресечения, должны оцениваться в их совокупности. ФИО5 обвиняется в совершении нескольких особо тяжких преступлений, продлевая меру пресечения в отношении него, суд учел характер и тяжесть инкриминируемых преступлений, обстоятельства совершаемых преступлений, данные об оказанном давлении и угрозах на свидетелей по данному делу, возможные последствия в случае изменения меры пресечения, мотивировав свои выводы. Каких-либо медицинских данных о невозможности нахождения ФИО5 под страже в материалах дела не имеется. Нарушений процессуального закона, влекущих за собою отмену постановления судьи, нет. На основании изложенного и руководствуясь ст.ст. 389.20 , 389.33 УПК РФ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