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ходе судебного разбирательства суд вправе избрать, изменить или отменить меру пресечения в отношении подсудимого.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заключение под стражу избрано подсудимому в качестве меры пресечения, то срок содержания его под стражей со дня поступления уголовного дела в суд и до вынесения приговора не может превышать 6 месяцев, за исключением случаев, предусмотренных частью третей настоящей статьи. В соответствии с ч.ч.3 и 4 ст. 255 УПК РФ суд, в производстве которого находится уголовное дело, по истечении 6 месяцев со дня поступления уголовного дела в суд вправе продлить срок содержания подсудимого под стражей. При этом продление срока содержания под стражей допускается только по уголовным делам о тяжких и особо тяжких преступлениях и каждый раз не более чем на 3 месяца. Решение суда о продлении срока содержания подсудимого под стражей может быть обжаловано в апелляционном порядке. Обжалование не приостанавливает производство по уголовному делу. В соответствии со ст. 99 УПК РФ перечисленные в ней обстоятельства, подлежащие учету при принятии судьей решения о применении меры пресечения, должны оцениваться в их совокупности. ФИО1 обвиняется в совершении нескольких преступлений средней тяжести, продлевая меру пресечения в отношении него, суд учел характер и тяжесть инкриминируемых преступлений, обстоятельства совершаемых преступлений, отрицательные данные о личности подсудимого, который ранее многократно судим, возможные последствия в случае изменения меры пресечения, мотивировав свои выводы. Установление срока содержания под стражей осуществлено в порядке ст. 255 УПК РФ , то есть срок установлен с момента поступления дела в суд. Каких-либо медицинских данных о невозможности нахождения ФИО1 под страже в материалах дела не имеется. Нарушений процессуального закона, влекущих за собою отмену постановления судьи, нет. На основании изложенного и руководствуясь ст.ст. 389.20 , 389.33 УПК РФ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