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05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платеж до 28.06.2012 – 3000 руб.;</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платеж до 28.07.2012 – 3000 руб.;</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платеж до 28.08.2012 – 3000 руб.;</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платеж до 28.09.2012 – 3000 руб.;</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платеж до 28.10.2012 – 3000 руб.;</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платеж до 28.11.2012 – 3000 руб.;</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платеж до 28.12.2012 – 3000 руб.;</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платеж до 28.01.2013 – 3000 руб.;</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платеж до 28.02.2013 – 3000 руб.;</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платеж до 28.03.2013 – 3000 руб.;</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платеж до 28.04.2013 – 3000 руб.;</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платеж до 28.05.2013 – 3000 руб.;</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платеж до 28.06.2013 – 3000 руб.;</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платеж до 28.07.2013 – 3000 руб.;</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платеж до 28.08.2013 – 3000 руб.;</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платеж до 28.09.2013 – 3000 руб.;</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платеж до 28.10.2013 – 3000 руб.;</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платеж до 28.11.2013 – 3000 руб.;</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платеж до 28.12.2013 – 3000 руб.;</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платеж до 28.01.2014 – 3000 руб.;</w:t>
      </w:r>
    </w:p>
    <w:p>
      <w:pPr>
        <w:pStyle w:val="Heading3"/>
      </w:pPr>
      <w:r>
        <w:rPr>
          <w:rFonts w:ascii="Times New Roman" w:hAnsi="Times New Roman" w:eastAsia="Times New Roman" w:cs="Times New Roman"/>
          <w:b/>
          <w:i w:val="0"/>
          <w:sz w:val="22"/>
        </w:rPr>
        <w:t>Пункт 21. Правовой анализ</w:t>
      </w:r>
    </w:p>
    <w:p>
      <w:pPr>
        <w:spacing w:after="120" w:before="160"/>
        <w:ind w:firstLine="720"/>
        <w:jc w:val="both"/>
      </w:pPr>
      <w:r>
        <w:rPr>
          <w:rFonts w:ascii="Times New Roman" w:hAnsi="Times New Roman" w:eastAsia="Times New Roman" w:cs="Times New Roman"/>
          <w:b/>
          <w:i w:val="0"/>
          <w:sz w:val="22"/>
        </w:rPr>
        <w:t xml:space="preserve">21. </w:t>
      </w:r>
      <w:r>
        <w:rPr>
          <w:rFonts w:ascii="Times New Roman" w:hAnsi="Times New Roman" w:eastAsia="Times New Roman" w:cs="Times New Roman"/>
          <w:b w:val="0"/>
          <w:i w:val="0"/>
          <w:sz w:val="22"/>
        </w:rPr>
        <w:t>платеж до 28.02.2014 – 3000 руб.;</w:t>
      </w:r>
    </w:p>
    <w:p>
      <w:pPr>
        <w:pStyle w:val="Heading3"/>
      </w:pPr>
      <w:r>
        <w:rPr>
          <w:rFonts w:ascii="Times New Roman" w:hAnsi="Times New Roman" w:eastAsia="Times New Roman" w:cs="Times New Roman"/>
          <w:b/>
          <w:i w:val="0"/>
          <w:sz w:val="22"/>
        </w:rPr>
        <w:t>Пункт 22. Правовой анализ</w:t>
      </w:r>
    </w:p>
    <w:p>
      <w:pPr>
        <w:spacing w:after="120" w:before="160"/>
        <w:ind w:firstLine="720"/>
        <w:jc w:val="both"/>
      </w:pPr>
      <w:r>
        <w:rPr>
          <w:rFonts w:ascii="Times New Roman" w:hAnsi="Times New Roman" w:eastAsia="Times New Roman" w:cs="Times New Roman"/>
          <w:b/>
          <w:i w:val="0"/>
          <w:sz w:val="22"/>
        </w:rPr>
        <w:t xml:space="preserve">22. </w:t>
      </w:r>
      <w:r>
        <w:rPr>
          <w:rFonts w:ascii="Times New Roman" w:hAnsi="Times New Roman" w:eastAsia="Times New Roman" w:cs="Times New Roman"/>
          <w:b w:val="0"/>
          <w:i w:val="0"/>
          <w:sz w:val="22"/>
        </w:rPr>
        <w:t>платеж до 28.03.2014 – 3000 руб.;</w:t>
      </w:r>
    </w:p>
    <w:p>
      <w:pPr>
        <w:pStyle w:val="Heading3"/>
      </w:pPr>
      <w:r>
        <w:rPr>
          <w:rFonts w:ascii="Times New Roman" w:hAnsi="Times New Roman" w:eastAsia="Times New Roman" w:cs="Times New Roman"/>
          <w:b/>
          <w:i w:val="0"/>
          <w:sz w:val="22"/>
        </w:rPr>
        <w:t>Пункт 23. Правовой анализ</w:t>
      </w:r>
    </w:p>
    <w:p>
      <w:pPr>
        <w:spacing w:after="120" w:before="160"/>
        <w:ind w:firstLine="720"/>
        <w:jc w:val="both"/>
      </w:pPr>
      <w:r>
        <w:rPr>
          <w:rFonts w:ascii="Times New Roman" w:hAnsi="Times New Roman" w:eastAsia="Times New Roman" w:cs="Times New Roman"/>
          <w:b/>
          <w:i w:val="0"/>
          <w:sz w:val="22"/>
        </w:rPr>
        <w:t xml:space="preserve">23. </w:t>
      </w:r>
      <w:r>
        <w:rPr>
          <w:rFonts w:ascii="Times New Roman" w:hAnsi="Times New Roman" w:eastAsia="Times New Roman" w:cs="Times New Roman"/>
          <w:b w:val="0"/>
          <w:i w:val="0"/>
          <w:sz w:val="22"/>
        </w:rPr>
        <w:t>платеж до 28.04.2014 – 3000 руб.;</w:t>
      </w:r>
    </w:p>
    <w:p>
      <w:pPr>
        <w:pStyle w:val="Heading3"/>
      </w:pPr>
      <w:r>
        <w:rPr>
          <w:rFonts w:ascii="Times New Roman" w:hAnsi="Times New Roman" w:eastAsia="Times New Roman" w:cs="Times New Roman"/>
          <w:b/>
          <w:i w:val="0"/>
          <w:sz w:val="22"/>
        </w:rPr>
        <w:t>Пункт 24. Правовой анализ</w:t>
      </w:r>
    </w:p>
    <w:p>
      <w:pPr>
        <w:spacing w:after="120" w:before="160"/>
        <w:ind w:firstLine="720"/>
        <w:jc w:val="both"/>
      </w:pPr>
      <w:r>
        <w:rPr>
          <w:rFonts w:ascii="Times New Roman" w:hAnsi="Times New Roman" w:eastAsia="Times New Roman" w:cs="Times New Roman"/>
          <w:b/>
          <w:i w:val="0"/>
          <w:sz w:val="22"/>
        </w:rPr>
        <w:t xml:space="preserve">24. </w:t>
      </w:r>
      <w:r>
        <w:rPr>
          <w:rFonts w:ascii="Times New Roman" w:hAnsi="Times New Roman" w:eastAsia="Times New Roman" w:cs="Times New Roman"/>
          <w:b w:val="0"/>
          <w:i w:val="0"/>
          <w:sz w:val="22"/>
        </w:rPr>
        <w:t>платеж до 28.05.2014 – 3000 руб.;</w:t>
      </w:r>
    </w:p>
    <w:p>
      <w:pPr>
        <w:pStyle w:val="Heading3"/>
      </w:pPr>
      <w:r>
        <w:rPr>
          <w:rFonts w:ascii="Times New Roman" w:hAnsi="Times New Roman" w:eastAsia="Times New Roman" w:cs="Times New Roman"/>
          <w:b/>
          <w:i w:val="0"/>
          <w:sz w:val="22"/>
        </w:rPr>
        <w:t>Пункт 25. Правовой анализ</w:t>
      </w:r>
    </w:p>
    <w:p>
      <w:pPr>
        <w:spacing w:after="120" w:before="160"/>
        <w:ind w:firstLine="720"/>
        <w:jc w:val="both"/>
      </w:pPr>
      <w:r>
        <w:rPr>
          <w:rFonts w:ascii="Times New Roman" w:hAnsi="Times New Roman" w:eastAsia="Times New Roman" w:cs="Times New Roman"/>
          <w:b/>
          <w:i w:val="0"/>
          <w:sz w:val="22"/>
        </w:rPr>
        <w:t xml:space="preserve">25. </w:t>
      </w:r>
      <w:r>
        <w:rPr>
          <w:rFonts w:ascii="Times New Roman" w:hAnsi="Times New Roman" w:eastAsia="Times New Roman" w:cs="Times New Roman"/>
          <w:b w:val="0"/>
          <w:i w:val="0"/>
          <w:sz w:val="22"/>
        </w:rPr>
        <w:t>платеж до 28.06.2014 – 3000 руб.;</w:t>
      </w:r>
    </w:p>
    <w:p>
      <w:pPr>
        <w:pStyle w:val="Heading3"/>
      </w:pPr>
      <w:r>
        <w:rPr>
          <w:rFonts w:ascii="Times New Roman" w:hAnsi="Times New Roman" w:eastAsia="Times New Roman" w:cs="Times New Roman"/>
          <w:b/>
          <w:i w:val="0"/>
          <w:sz w:val="22"/>
        </w:rPr>
        <w:t>Пункт 26. Правовой анализ</w:t>
      </w:r>
    </w:p>
    <w:p>
      <w:pPr>
        <w:spacing w:after="120" w:before="160"/>
        <w:ind w:firstLine="720"/>
        <w:jc w:val="both"/>
      </w:pPr>
      <w:r>
        <w:rPr>
          <w:rFonts w:ascii="Times New Roman" w:hAnsi="Times New Roman" w:eastAsia="Times New Roman" w:cs="Times New Roman"/>
          <w:b/>
          <w:i w:val="0"/>
          <w:sz w:val="22"/>
        </w:rPr>
        <w:t xml:space="preserve">26. </w:t>
      </w:r>
      <w:r>
        <w:rPr>
          <w:rFonts w:ascii="Times New Roman" w:hAnsi="Times New Roman" w:eastAsia="Times New Roman" w:cs="Times New Roman"/>
          <w:b w:val="0"/>
          <w:i w:val="0"/>
          <w:sz w:val="22"/>
        </w:rPr>
        <w:t>платеж до 28.07.2014 – 3000 руб.;</w:t>
      </w:r>
    </w:p>
    <w:p>
      <w:pPr>
        <w:pStyle w:val="Heading3"/>
      </w:pPr>
      <w:r>
        <w:rPr>
          <w:rFonts w:ascii="Times New Roman" w:hAnsi="Times New Roman" w:eastAsia="Times New Roman" w:cs="Times New Roman"/>
          <w:b/>
          <w:i w:val="0"/>
          <w:sz w:val="22"/>
        </w:rPr>
        <w:t>Пункт 27. Правовой анализ</w:t>
      </w:r>
    </w:p>
    <w:p>
      <w:pPr>
        <w:spacing w:after="120" w:before="160"/>
        <w:ind w:firstLine="720"/>
        <w:jc w:val="both"/>
      </w:pPr>
      <w:r>
        <w:rPr>
          <w:rFonts w:ascii="Times New Roman" w:hAnsi="Times New Roman" w:eastAsia="Times New Roman" w:cs="Times New Roman"/>
          <w:b/>
          <w:i w:val="0"/>
          <w:sz w:val="22"/>
        </w:rPr>
        <w:t xml:space="preserve">27. </w:t>
      </w:r>
      <w:r>
        <w:rPr>
          <w:rFonts w:ascii="Times New Roman" w:hAnsi="Times New Roman" w:eastAsia="Times New Roman" w:cs="Times New Roman"/>
          <w:b w:val="0"/>
          <w:i w:val="0"/>
          <w:sz w:val="22"/>
        </w:rPr>
        <w:t>платеж до 28.08.2014 – 3000 руб.;</w:t>
      </w:r>
    </w:p>
    <w:p>
      <w:pPr>
        <w:pStyle w:val="Heading3"/>
      </w:pPr>
      <w:r>
        <w:rPr>
          <w:rFonts w:ascii="Times New Roman" w:hAnsi="Times New Roman" w:eastAsia="Times New Roman" w:cs="Times New Roman"/>
          <w:b/>
          <w:i w:val="0"/>
          <w:sz w:val="22"/>
        </w:rPr>
        <w:t>Пункт 28. Правовой анализ</w:t>
      </w:r>
    </w:p>
    <w:p>
      <w:pPr>
        <w:spacing w:after="120" w:before="160"/>
        <w:ind w:firstLine="720"/>
        <w:jc w:val="both"/>
      </w:pPr>
      <w:r>
        <w:rPr>
          <w:rFonts w:ascii="Times New Roman" w:hAnsi="Times New Roman" w:eastAsia="Times New Roman" w:cs="Times New Roman"/>
          <w:b/>
          <w:i w:val="0"/>
          <w:sz w:val="22"/>
        </w:rPr>
        <w:t xml:space="preserve">28. </w:t>
      </w:r>
      <w:r>
        <w:rPr>
          <w:rFonts w:ascii="Times New Roman" w:hAnsi="Times New Roman" w:eastAsia="Times New Roman" w:cs="Times New Roman"/>
          <w:b w:val="0"/>
          <w:i w:val="0"/>
          <w:sz w:val="22"/>
        </w:rPr>
        <w:t>платеж до 28.09.2014 – 3000 руб.;</w:t>
      </w:r>
    </w:p>
    <w:p>
      <w:pPr>
        <w:pStyle w:val="Heading3"/>
      </w:pPr>
      <w:r>
        <w:rPr>
          <w:rFonts w:ascii="Times New Roman" w:hAnsi="Times New Roman" w:eastAsia="Times New Roman" w:cs="Times New Roman"/>
          <w:b/>
          <w:i w:val="0"/>
          <w:sz w:val="22"/>
        </w:rPr>
        <w:t>Пункт 29. Правовой анализ</w:t>
      </w:r>
    </w:p>
    <w:p>
      <w:pPr>
        <w:spacing w:after="120" w:before="160"/>
        <w:ind w:firstLine="720"/>
        <w:jc w:val="both"/>
      </w:pPr>
      <w:r>
        <w:rPr>
          <w:rFonts w:ascii="Times New Roman" w:hAnsi="Times New Roman" w:eastAsia="Times New Roman" w:cs="Times New Roman"/>
          <w:b/>
          <w:i w:val="0"/>
          <w:sz w:val="22"/>
        </w:rPr>
        <w:t xml:space="preserve">29. </w:t>
      </w:r>
      <w:r>
        <w:rPr>
          <w:rFonts w:ascii="Times New Roman" w:hAnsi="Times New Roman" w:eastAsia="Times New Roman" w:cs="Times New Roman"/>
          <w:b w:val="0"/>
          <w:i w:val="0"/>
          <w:sz w:val="22"/>
        </w:rPr>
        <w:t>платеж до 28.10.2014 – 3000 руб.;</w:t>
      </w:r>
    </w:p>
    <w:p>
      <w:pPr>
        <w:pStyle w:val="Heading3"/>
      </w:pPr>
      <w:r>
        <w:rPr>
          <w:rFonts w:ascii="Times New Roman" w:hAnsi="Times New Roman" w:eastAsia="Times New Roman" w:cs="Times New Roman"/>
          <w:b/>
          <w:i w:val="0"/>
          <w:sz w:val="22"/>
        </w:rPr>
        <w:t>Пункт 30. Правовой анализ</w:t>
      </w:r>
    </w:p>
    <w:p>
      <w:pPr>
        <w:spacing w:after="120" w:before="160"/>
        <w:ind w:firstLine="720"/>
        <w:jc w:val="both"/>
      </w:pPr>
      <w:r>
        <w:rPr>
          <w:rFonts w:ascii="Times New Roman" w:hAnsi="Times New Roman" w:eastAsia="Times New Roman" w:cs="Times New Roman"/>
          <w:b/>
          <w:i w:val="0"/>
          <w:sz w:val="22"/>
        </w:rPr>
        <w:t xml:space="preserve">30. </w:t>
      </w:r>
      <w:r>
        <w:rPr>
          <w:rFonts w:ascii="Times New Roman" w:hAnsi="Times New Roman" w:eastAsia="Times New Roman" w:cs="Times New Roman"/>
          <w:b w:val="0"/>
          <w:i w:val="0"/>
          <w:sz w:val="22"/>
        </w:rPr>
        <w:t>платеж до 28.11.2014 – 3000 руб.;</w:t>
      </w:r>
    </w:p>
    <w:p>
      <w:pPr>
        <w:pStyle w:val="Heading3"/>
      </w:pPr>
      <w:r>
        <w:rPr>
          <w:rFonts w:ascii="Times New Roman" w:hAnsi="Times New Roman" w:eastAsia="Times New Roman" w:cs="Times New Roman"/>
          <w:b/>
          <w:i w:val="0"/>
          <w:sz w:val="22"/>
        </w:rPr>
        <w:t>Пункт 31. Правовой анализ</w:t>
      </w:r>
    </w:p>
    <w:p>
      <w:pPr>
        <w:spacing w:after="120" w:before="160"/>
        <w:ind w:firstLine="720"/>
        <w:jc w:val="both"/>
      </w:pPr>
      <w:r>
        <w:rPr>
          <w:rFonts w:ascii="Times New Roman" w:hAnsi="Times New Roman" w:eastAsia="Times New Roman" w:cs="Times New Roman"/>
          <w:b/>
          <w:i w:val="0"/>
          <w:sz w:val="22"/>
        </w:rPr>
        <w:t xml:space="preserve">31. </w:t>
      </w:r>
      <w:r>
        <w:rPr>
          <w:rFonts w:ascii="Times New Roman" w:hAnsi="Times New Roman" w:eastAsia="Times New Roman" w:cs="Times New Roman"/>
          <w:b w:val="0"/>
          <w:i w:val="0"/>
          <w:sz w:val="22"/>
        </w:rPr>
        <w:t>платеж до 28.12.2014 – 3000 руб.;</w:t>
      </w:r>
    </w:p>
    <w:p>
      <w:pPr>
        <w:pStyle w:val="Heading3"/>
      </w:pPr>
      <w:r>
        <w:rPr>
          <w:rFonts w:ascii="Times New Roman" w:hAnsi="Times New Roman" w:eastAsia="Times New Roman" w:cs="Times New Roman"/>
          <w:b/>
          <w:i w:val="0"/>
          <w:sz w:val="22"/>
        </w:rPr>
        <w:t>Пункт 32. Правовой анализ</w:t>
      </w:r>
    </w:p>
    <w:p>
      <w:pPr>
        <w:spacing w:after="120" w:before="160"/>
        <w:ind w:firstLine="720"/>
        <w:jc w:val="both"/>
      </w:pPr>
      <w:r>
        <w:rPr>
          <w:rFonts w:ascii="Times New Roman" w:hAnsi="Times New Roman" w:eastAsia="Times New Roman" w:cs="Times New Roman"/>
          <w:b/>
          <w:i w:val="0"/>
          <w:sz w:val="22"/>
        </w:rPr>
        <w:t xml:space="preserve">32. </w:t>
      </w:r>
      <w:r>
        <w:rPr>
          <w:rFonts w:ascii="Times New Roman" w:hAnsi="Times New Roman" w:eastAsia="Times New Roman" w:cs="Times New Roman"/>
          <w:b w:val="0"/>
          <w:i w:val="0"/>
          <w:sz w:val="22"/>
        </w:rPr>
        <w:t>платеж до 28.01.2015 – 3000 руб.;</w:t>
      </w:r>
    </w:p>
    <w:p>
      <w:pPr>
        <w:pStyle w:val="Heading3"/>
      </w:pPr>
      <w:r>
        <w:rPr>
          <w:rFonts w:ascii="Times New Roman" w:hAnsi="Times New Roman" w:eastAsia="Times New Roman" w:cs="Times New Roman"/>
          <w:b/>
          <w:i w:val="0"/>
          <w:sz w:val="22"/>
        </w:rPr>
        <w:t>Пункт 33. Правовой анализ</w:t>
      </w:r>
    </w:p>
    <w:p>
      <w:pPr>
        <w:spacing w:after="120" w:before="160"/>
        <w:ind w:firstLine="720"/>
        <w:jc w:val="both"/>
      </w:pPr>
      <w:r>
        <w:rPr>
          <w:rFonts w:ascii="Times New Roman" w:hAnsi="Times New Roman" w:eastAsia="Times New Roman" w:cs="Times New Roman"/>
          <w:b/>
          <w:i w:val="0"/>
          <w:sz w:val="22"/>
        </w:rPr>
        <w:t xml:space="preserve">33. </w:t>
      </w:r>
      <w:r>
        <w:rPr>
          <w:rFonts w:ascii="Times New Roman" w:hAnsi="Times New Roman" w:eastAsia="Times New Roman" w:cs="Times New Roman"/>
          <w:b w:val="0"/>
          <w:i w:val="0"/>
          <w:sz w:val="22"/>
        </w:rPr>
        <w:t>платеж до 28.02.2015 – 3000 руб.;</w:t>
      </w:r>
    </w:p>
    <w:p>
      <w:pPr>
        <w:pStyle w:val="Heading3"/>
      </w:pPr>
      <w:r>
        <w:rPr>
          <w:rFonts w:ascii="Times New Roman" w:hAnsi="Times New Roman" w:eastAsia="Times New Roman" w:cs="Times New Roman"/>
          <w:b/>
          <w:i w:val="0"/>
          <w:sz w:val="22"/>
        </w:rPr>
        <w:t>Пункт 34. Правовой анализ</w:t>
      </w:r>
    </w:p>
    <w:p>
      <w:pPr>
        <w:spacing w:after="120" w:before="160"/>
        <w:ind w:firstLine="720"/>
        <w:jc w:val="both"/>
      </w:pPr>
      <w:r>
        <w:rPr>
          <w:rFonts w:ascii="Times New Roman" w:hAnsi="Times New Roman" w:eastAsia="Times New Roman" w:cs="Times New Roman"/>
          <w:b/>
          <w:i w:val="0"/>
          <w:sz w:val="22"/>
        </w:rPr>
        <w:t xml:space="preserve">34. </w:t>
      </w:r>
      <w:r>
        <w:rPr>
          <w:rFonts w:ascii="Times New Roman" w:hAnsi="Times New Roman" w:eastAsia="Times New Roman" w:cs="Times New Roman"/>
          <w:b w:val="0"/>
          <w:i w:val="0"/>
          <w:sz w:val="22"/>
        </w:rPr>
        <w:t>платеж до 28.03.2015 – 3000 руб.;</w:t>
      </w:r>
    </w:p>
    <w:p>
      <w:pPr>
        <w:pStyle w:val="Heading3"/>
      </w:pPr>
      <w:r>
        <w:rPr>
          <w:rFonts w:ascii="Times New Roman" w:hAnsi="Times New Roman" w:eastAsia="Times New Roman" w:cs="Times New Roman"/>
          <w:b/>
          <w:i w:val="0"/>
          <w:sz w:val="22"/>
        </w:rPr>
        <w:t>Пункт 35. Правовой анализ</w:t>
      </w:r>
    </w:p>
    <w:p>
      <w:pPr>
        <w:spacing w:after="120" w:before="160"/>
        <w:ind w:firstLine="720"/>
        <w:jc w:val="both"/>
      </w:pPr>
      <w:r>
        <w:rPr>
          <w:rFonts w:ascii="Times New Roman" w:hAnsi="Times New Roman" w:eastAsia="Times New Roman" w:cs="Times New Roman"/>
          <w:b/>
          <w:i w:val="0"/>
          <w:sz w:val="22"/>
        </w:rPr>
        <w:t xml:space="preserve">35. </w:t>
      </w:r>
      <w:r>
        <w:rPr>
          <w:rFonts w:ascii="Times New Roman" w:hAnsi="Times New Roman" w:eastAsia="Times New Roman" w:cs="Times New Roman"/>
          <w:b w:val="0"/>
          <w:i w:val="0"/>
          <w:sz w:val="22"/>
        </w:rPr>
        <w:t>платеж до 28.04.2015 – 3000 руб.;</w:t>
      </w:r>
    </w:p>
    <w:p>
      <w:pPr>
        <w:pStyle w:val="Heading3"/>
      </w:pPr>
      <w:r>
        <w:rPr>
          <w:rFonts w:ascii="Times New Roman" w:hAnsi="Times New Roman" w:eastAsia="Times New Roman" w:cs="Times New Roman"/>
          <w:b/>
          <w:i w:val="0"/>
          <w:sz w:val="22"/>
        </w:rPr>
        <w:t>Пункт 36. Выводы</w:t>
      </w:r>
    </w:p>
    <w:p>
      <w:pPr>
        <w:spacing w:after="120" w:before="160"/>
        <w:ind w:firstLine="720"/>
        <w:jc w:val="both"/>
      </w:pPr>
      <w:r>
        <w:rPr>
          <w:rFonts w:ascii="Times New Roman" w:hAnsi="Times New Roman" w:eastAsia="Times New Roman" w:cs="Times New Roman"/>
          <w:b/>
          <w:i w:val="0"/>
          <w:sz w:val="22"/>
        </w:rPr>
        <w:t xml:space="preserve">36. </w:t>
      </w:r>
      <w:r>
        <w:rPr>
          <w:rFonts w:ascii="Times New Roman" w:hAnsi="Times New Roman" w:eastAsia="Times New Roman" w:cs="Times New Roman"/>
          <w:b w:val="0"/>
          <w:i w:val="0"/>
          <w:sz w:val="22"/>
        </w:rPr>
        <w:t>платеж до 28.05.2015 – 3000 руб.; Выдача кредита была произведена 28.05.2012 посредством перечисления денежных средств на счет ФИО1, открытый в банке, с которого выдан заемщику наличными денежными средствами, с установлением кредитного лимита в размере 60000 руб. Указанное отражено в выписке по счету. ФИО1 были произведены платежи в счет погашения обязательств в период с 22.06.2012 по 27.11.2013 в размере минимального платежа 3000 руб., которые распределились на гашение основного долга, процентов по кредиту, страховой премии и комиссии за открытие и ведение карточного счета; 28.12.2013 в счет уплаты процентов по кредиту зачислено 4,86 руб., иные движения по счету отсутствуют (л.д.9-14). Исходя из природы сложившихся отношений и предусмотренного условиями договора кредитования порядка погашения задолженности, ПАО «Совкомбанк» стало известно о нарушении его права на получение надлежащего исполнения по кредитному договору 29.12.2013, в то время как впервые с заявлением о выдаче судебного приказа банк согласно оттиску штемпеля на конверте обратился 13.04.2017, следовательно, по платежам со сроком исполнения до 28.03.2014, 28.02.2014, 28.01.2014, 28.12.2013, а также начисленным процентам и штрафным санкциям за просрочку данных платежей срок исковой давности истек, в связи с чем, в данной части исковые требования удовлетворению не подлежат. Течение срока исковой давности по платежам со сроком уплаты до 28.04.2014, 28.05.2014, 28.06.2014 и т.д. по иным платежам до уплаты последнего началось 29.04.2014, 29.05.2014, 29.06.2014 и т.д. соответственно и длилось до подачи истцом заявления о выдаче судебного приказа, то есть до 13.04.2017 и составило: по платежу со сроком уплаты до 28.04.2014 – 2 года 11 месяцев, до 28.05.2014 – 2 года 10 месяцев, до 28.06.2014 – 2 года 09 месяцев и т.д. по платежам с более поздним сроком уплаты. Следовательно, не истекшая часть срока исковой давности составляет менее шести месяцев. Судом учитываются, разъяснения, содержащиеся в пункте 18 постановления Пленума Верховного Суда Российской Федерации N 43 "О некоторых вопросах, связанных с применением норм Гражданского кодекса Российской Федерации об исковой давности", по смыслу статьи гражданского кодекса Российской Федерации, начавшееся до предъявления иска течение срока исковой давности, продолжается в случаях отмены судебного приказа. В случае отмены судебного приказа, если не истекшая часть срока исковой давности составляет менее шести месяцев, она удлиняется до шести месяцев (п. 1 ст. , п. 3 ст. 204 ГК РФ ). 17.04.2017 судебный приказ о взыскании с ФИО1 задолженности был вынесен, а определением мирового судьи судебного участка № 4 Северского судебного района Томской области от 28.04.2017 по заявлению ФИО1 был отменен (л.д.27), следовательно, течение срока исковой давности продолжилось - увеличилось на шесть месяцев после отмены судебного приказа 28.04.2017 в связи с чем, срок исковой давности истек бы 28.10.2017. Истец обратился в суд с иском о взыскании денежных средств с ответчика 26.06.2017. При таких обстоятельствах, срок исковой давности, установленный статьей Гражданского кодекса российской Федерации, по платежам со сроком уплаты до 28.04.2014 и позднее банком не пропущен. Проверив правильность математических операций представленного истцом расчета задолженности по состоянию на 08.06.2017, согласно которому задолженности ФИО1 перед банком составляет 129126,13 руб., из которых 59939,14 руб. – просроченная ссуда, 16827,35 руб. – просроченные проценты, 24503,40 – штрафные санкции за просрочку уплаты кредита, 25076,24 руб. – штрафные санкции за просрочку уплаты процентов, 2280 руб. – страховая премия, 500 комиссия за оформление и обслуживание банковской карты, суд считает возможным с ним согласиться как с обоснованным, соответствующим условиям кредитного договора и требованиям действующего законодательства. Разрешая требований истца о взыскании с ответчика просроченной ссуды и просроченных процентов, суд, применяя срок исковой давности, считает возможным взыскать с ответчика просроченную ссуду за период с 29.04.2014 по 08.06.2017 в размере 53968,26 руб. (59939,14 руб. (сумма просроченной ссуды, рассчитанной истцом за период с 31.12.2013 по 08.06.2017) – 5970,88 руб. (сумма ссудной задолженности, рассчитанной истцом за период с 31.12.2013 по 28.04.2014) и просроченные проценты за период с 29.04.2014 по 08.06.2017 в размере 11283,09 руб. (16827,35 руб. (сумма просроченных процентов, рассчитанных истцом за период с 31.12.2013 по 08.06.2017) – 5544,26 руб. (сумма просроченных процентов, рассчитанных истцом за период с 31.12.2013 по 28.04.2014). Кроме этого истцом заявлены требования о взыскании с ФИО1 штрафных санкций за просрочку уплаты кредита – 24503,40 руб. и штрафных санкций за просрочку уплаты процентов – 25076,24 руб. Разрешая заявленные ПАО «Совкомбанк» требования в части взыскания с ФИО1 указанных сумм, суд исходит из следующего. Согласно п. 6.1 условий кредитования и разделу Б кредитного договора от 28.05.2012 № ** за несвоевременный возврат кредита (части кредита) взимается неустойка в виде пени по ставке 120% годовых от суммы просроченного платежа по исполнению обязательства по возврату суммы кредита и по уплате процентов за каждый день просрочки. В связи с несвоевременным возвратом очередной части суммы кредита и процентов ПАО«Совкомбанк» произвело ответчику начисление неустоек в соответствии с условиями кредитного договора. Согласно представленному истцом расчету задолженность ФИО1 по штрафным санкциям за просрочку уплаты кредита составляет 24503,4 руб., по штрафным санкциям за просрочку уплаты процентов – 25076,24 руб. Принимая во внимание, что судом применен срок исковой давности по платежам со сроком уплаты до 28.04.2017 и ранее, суд считает, что исковые требования о взыскании с ответчика задолженности по штрафным санкциям за просрочку платежей, срок исковой давности по которым истек, не подлежат удовлетворению. Таким образом, задолженность ответчика ФИО1 по штрафным санкциям за просрочку уплаты кредита за период с 29.04.2014 по 08.06.2014 составит 23060,03 руб. (24503,40 руб. (сумма штрафа за просрочку уплаты кредита за период с 31.12.2013 по 08.06.2017) – 1443,37 руб. (сумма штрафных санкций за период с 31.12.2013 по 28.04.2014); задолженность по штрафным санкциям за просрочку уплаты процентов за период с 29.04.2014 по 08.06.2014 – 23718,83 руб. (25076,24 руб. (сумма штрафа за просрочку уплаты процентов за период с 31.12.2013 по 08.06.2017) – 1357,41 руб. (сумма штрафных санкций за период с 31.12.2013 по 28.04.2014). В ходе рассмотрения дела ответчик заявила о несоразмерности заявленной неустойки, просила ее снизить на основании статьи Гражданского кодекса Российской Федерации. Так, в соответствии со статьей Гражданского кодекса Российской Федерации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В силу статьи Гражданского кодекса Российской Федерации, если подлежащая уплате неустойка явно несоразмерна последствиям нарушения обязательства, суд вправе уменьшить неустойку. Как разъяснил Пленум Верховного Суда Российской Федерации в &lt;...&gt; постановления от 24.03.2016 № 7 «О применении судами некоторых положений Гражданского кодекса Российской Федерации об ответственности за нарушение обязательств», при взыскании неустойки с физических лиц правила ст. Гражданского кодекса Российской Федерации могут применяться не только по заявлению должника, но и по инициативе суда, если усматривается очевидная несоразмерность неустойки последствиям нарушения обязательства (пункт 1 статьи Гражданского кодекса Российской Федерации). В этом случае суд при рассмотрении дела выносит на обсуждение обстоятельства, свидетельствующие о такой несоразмерности (статья Гражданского процессуального кодекса Российской Федерации). При наличии в деле доказательств, подтверждающих явную несоразмерность неустойки последствиям нарушения обязательства, суд уменьшает неустойку по правилам статья Гражданского кодекса Российской Федерации. Если уменьшение неустойки допускается по инициативе суда, то вопрос о таком уменьшении может быть также поставлен на обсуждение сторон судом апелляционной инстанции независимо от перехода им к рассмотрению дела по правилам производства в суде первой инстанции (часть 1 и 2 статьи Гражданского процессуального кодекса Российской Федерации). Бремя доказывания несоразмерности неустойки и необоснованности выгоды кредитора возлагается на ответчика. Возражая против заявления об уменьшении размера неустойки, кредитор не обязан доказывать возникновение у него убытков (пункт 1 статьи Гражданского кодекса Российской Федерации), но вправе представлять доказательства того, какие последствия имеют подобные нарушения обязательства для кредитора, действующего при сравнимых обстоятельствах разумно и осмотрительно, например, указать на изменение средних показателей по рынку (процентных ставок по кредитам или рыночных цен на определенные виды товаров в соответствующий период, валютных курсов и т.д.). При оценке соразмерности неустойки последствиям нарушения обязательства необходимо учитывать, что никто не вправе извлекать преимущества из своего незаконного поведения, а также то, что неправомерное пользование чужими денежными средствами не должно быть более выгодным для должника, чем условия правомерного пользования (пункты 3, 4 статьи Гражданского кодекса Российской Федерации). Таким образом, гражданское законодательство предусматривает неустойку в качестве способа обеспечения исполнения обязательств и меры имущественной ответственности за их неисполнение или ненадлежащее исполнение, а право снижения размера неустойки предоставлено суду в целях устранения явной ее несоразмерности последствиям нарушения обязательств независимо от того, является неустойка законной или договорной. Наличие оснований для снижения и определение критериев соразмерности определяются судом в каждом конкретном случае самостоятельно, исходя из установленных по делу обстоятельств. С учетом изложенных обстоятельств, положений закона суд, реализуя право устанавливать баланс между применяемой к нарушителю мерой ответственности и размером действительного ущерба, причиненного в результате совершенного им правонарушения, приходит к выводу о том, что заявленные в иске ПАО «Совкомбанк» неустойки, начисленные за несвоевременную уплату процентов и основного долга, явно несоразмерны последствиям нарушения обязательства, а потому подлежат снижению. Разрешая вопрос о снижении размера неустойки, суд принимает во внимание, что размер неустойки (120 % от суммы просроченного платежа за каждый день просрочки) многократно превышает ставки рефинансирования, действующие в спорный период, и средние ставки банковского процента по вкладам физических лиц, а также учитывает, что неустойка по своей природе носит компенсационный характер, является способом обеспечения исполнения обязательства должником и не должна служить средством обогащения кредитора, но при этом направлена на восстановление прав кредитора, нарушенных вследствие ненадлежащего исполнения обязательства, а потому должна соответствовать последствиям нарушения. На основании изложенного суд считает возможным снизить размер неустойки до 24% годовых от суммы просроченного платежа за каждый день просрочки. Следовательно, размер штрафных санкций за просрочку уплаты кредита за период 29.04.2014 по 08.06.2017 исходя из 24 % годовых от суммы просроченного платежа за каждый день просрочки составляет 4612 руб., размер штрафных санкций за просрочку уплаты процентов за период 29.04.2014 по 08.06.2017 исходя из 24 % годовых от суммы просроченного платежа за каждый день просрочки составляет 4743,77 руб., что является пределом, соразмерным нарушенному обязательству. При таких обстоятельствах, суд приходит к выводу о частичном удовлетворении исковых требований о взыскании штрафных санкций за просрочку уплаты кредита за период 29.04.2014 по 08.06.2017 в размере 4612 руб. и штрафных санкций за просрочку уплаты процентов за период 29.04.2014 по 08.06.2017 - 4743,77 руб. Разрешая исковое требование о взыскании с ответчика ФИО1 страховой премии в размере 2280 руб., суд приходит к следующим выводам. В силу статьи 1 Федерального закона от 02.12.1990 N 395-1 "О банках и банковской деятельности" страхование жизни и здоровья заемщика является допустимым способом обеспечения возврата кредита, осуществляется к выгоде заемщика. То есть действующее законодательство допускает возможность в качестве способа обеспечения исполнения обязательств по кредитному договору предусмотреть возможность заемщика застраховать свою жизнь и здоровье и в этом случае в качестве выгодоприобретателя может быть указан банк. Указанное согласует с позицией Верховного Суда Российской Федерации, изложенной в пункте 4 Обзора судебной практики по гражданским делам, связанным с разрешением споров об исполнении кредитных обязательств, утвержденного Президиумом Верховного Суда Российской Федерации 22.05.2013, согласно которому в качестве дополнительного способа обеспечения исполнения кредитного обязательства допускается добровольное страхование заемщиком риска своей ответственности. Согласно пункту 3.1 условий кредитования, банк предоставляет заемщику кредит на потребительские цели на условиях, предусмотренных договором о потребительском кредитовании, а заемщик обязуется возвратить полученную денежную сумму, уплатить проценты за пользование кредитом, комиссию за оформление банковской карты и плату за включение в программу добровольной страховой защиты заемщиков (в случае, если заемщик в письменной форме выразил желание подключиться к программе добровольной страховой защиты заемщиков). Плата за включение в программу страховой защиты заемщиков (вознаграждение, уплачиваемое заемщиком банку за комплекс расчетно-гарантийных услуг, направленных на снижение рисков заемщика), которую заемщик обязан уплатить (в случае, если заемщик в письменной форме выразил желание подключиться к программе) рассчитывается и уплачивается заемщиком согласно его заявлению-оферте (пункты 3.7, 4.1.2 Условий кредитования). ФИО1 обращаясь с заявлением-офертой о заключении договора о потребительском кредитовании дала согласие на подключение к страховой программе защиты заёмщиков и просила банк направлять денежные средства в размере платы за включение в программу страховой защиты, указанной в разделе «Б» заявления-оферты, на её уплату. Из раздела «Б» договора о потребительском кредитовании № ** следует, что ежемесячная плата за включение в программу страховой защиты заёмщиков составляет 0,20 % от суммы лимита кредитования. Кроме того, она обратилась с заявлением на включение в программу добровольного страхования жизни от несчастных случаев или болезней, подтвердив его своей подписью. В указанном заявлении от 28.05.2012 она согласилась с тем, что будет являться застрахованным лицом по договору добровольного группового страхования жизни и от несчастных случаев и болезней и на случай дожития до события недобровольной потери работы, заключенному ПАО «Совкомбанк» и ЗАО «АЛИКО» осознает, что также имеет право самостоятельно заключить договор страхования от аналогичных рисков с любой иной страховой компанией, а также с ЗАО «АЛИКО» без участия банка; понимает, что добровольное страхование является ее личным желанием и правом, а не обязанностью, получила полную и подробную информацию о программе страхования жизни и от несчастных случаев и болезней заемщиков, согласна с условиями договора страхования; понимает и соглашается с тем, что участие в программе добровольного страхования не влияет на процентную ставку по кредиту, а также на принятие банком положительного решения о предоставлении кредита. Таким образом, суд считает исковое требование банка о взыскании страховой премии законным, обоснованным и подлежащим удовлетворению, а доводы ответчика об обратном отклоняет. Вместе с тем, с учетом применения судом срока исковой давности, указанное исковое требование подлежит удовлетворению частично: с ФИО1 в пользу ПАО «Совкомбанк» подлежит взысканию страховая премия за период с 29.04.2014 по 29.05.2015 в размере 1560 руб. (120р (размер ежемесячной платы ) х 13 (количество месяцев). Разрешая исковые требования о взыскании с ответчика комиссии за оформление и обслуживание банковской карты в размере 500 рублей, суд вопреки позиции ответчика считает их обоснованными и подлежащими удовлетворению. Так, ФИО1, обращаясь 28.05.2012 к ПАО «Совкомбанк» с заявлением-офертой о заключении договора о потребительском кредитовании, просила банк перечислять денежные средства с открытого ей банковского счета на оплату комиссии за оформление и обслуживание расчетной карты. Из раздела «Б» договора о потребительском кредитовании № ** следует, что ежегодная комиссия за оформление и обслуживание расчетной карты составляет 500 рублей. Плата за услуги по обслуживанию банковского счета прямо предусмотрена законодательством Российской Федерации, а также договором, заключенным между банком и ответчиком. Выдача наличных денежных средств со счета в банкоматах с помощью инструмента безналичных расчетов (банковской карты), а также перевод денежных средств по счету - это необязательные банковские операции, осуществляемые банком по счету клиента, исключительно по волеизъявлению последнего, то есть являются самостоятельной услугой, за оказание которой условиями договора о карте была предусмотрена согласованная с ответчиком плата. Учитывая изложенное, суд считает, что исковые требования о взыскании с ответчика комиссии за оформление и обслуживание банковской карты в размере 500 рублей подлежат удовлетворению. Оценив изложенные выше обстоятельства и доказательства в их совокупности, суд приходит к выводу о том, что требования ПАО «Совкомбанк» о взыскании с ФИО1 задолженности по кредитному договору № ** от 28.05.2012 по состоянию на 08.06.2017 подлежат частичному удовлетворению: с ФИО1 подлежит взысканию задолженность по кредитному договору по состоянию на 08.06.2017 в размере 76667,12 руб., из которых 53968,26 руб. – просроченная ссуда, 11283,09 руб. – просроченные проценты за период с 29.04.2014 по 08.06.2017, 4612 руб. – штрафные санкции за просрочку уплаты кредита за период с 29.04.2014 по 08.06.2017, 4743,77 руб. – штрафные санкции за просрочку уплаты процентов за период с 29.04.2014 по 08.06.2017, 1560 руб. – страховая премия за период с 29.04.2014 по 08.06.2017, 500 руб. - комиссия за оформление и обслуживание банковской карты. Разрешая ходатайство о возмещении судебных расходов, суд исходит из следующего. Согласно статье Гражданского процессуального кодекса Российской Федерации судебные расходы состоят из государственной пошлины и издержек, связанных с рассмотрением дела. В силу части 1 статьи Гражданского процессуального кодекса Российской Федерации стороне, в пользу которой состоялось решение суда, суд присуждает возместить с другой стороны все понесенные по делу судебные расходы.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Статья Гражданского процессуального кодекса Российской Федерации к издержкам, связанным с рассмотрением дела, относит расходы на оплату услуг представителей, другие признанные судом необходимые расходы. При неполном (частичном) удовлетворении имущественных требований, подлежащих оценке, судебные издержки присуждаются истцу пропорционально размеру удовлетворенных судом исковых требований, а ответчику - пропорционально той части исковых требований, в которой истцу отказано (статьи , Гражданского процессуального кодекса Российской Федерации). Положения процессуального законодательства о пропорциональном возмещении (распределении) судебных издержек (статьи , , Гражданского процессуального кодекса Российской Федерации) не подлежат применению при разрешении иска неимущественного характера, в том числе имеющего денежную оценку требования, направленного на защиту личных неимущественных прав (например, о компенсации морального вреда); требования о взыскании неустойки, которая уменьшается судом в связи с несоразмерностью последствиям нарушения обязательства, получением кредитором необоснованной выгоды (статья 333 ГК РФ ) (пп. 20, 21 названного постановления). Как следует из пункта 21 постановления Пленума Верховного Суда РФ от 21.01.2016 № 1 «О некоторых вопросах применения законодательства о возмещении издержек, связанных с рассмотрением дела», положения процессуального законодательства о пропорциональном возмещении (распределении) судебных издержек (статьи , , 103 ГПК РФ ) не подлежат применению при разрешении требования о взыскании неустойки, которая уменьшается судом в связи с несоразмерностью последствиям нарушения обязательства, получением кредитором необоснованной выгоды (статья 333 ГК РФ ). При обращении в суд с иском истцом уплачена государственная пошлина в сумме 3782,52 руб., что подтверждается платежными поручениями №** от 14.06.2017 на сумму 1897,26 руб. и № ** от 27.03.2017 на сумму 1885,26 руб. Учитывая, что исковые требования удовлетворены частично на общую сумму 76667,12 руб., а положения процессуального законодательства о пропорциональном возмещении (распределении) судебных издержек (статьи , , 103 ГПК РФ ) не подлежат применению при разрешении требования о взыскании неустойки (24503,40 руб. и 25076, 24 руб.), суд приходит к выводу о том, что судебные расходы по уплате государственной пошлины подлежат возмещению истцу с ответчика в размере 3537,84 руб. (пропорционально размеру удовлетворенных судом исковых требований, включая неустойку в размере, заявленном истцом). На основании изложенного, руководствуясь статьями - Гражданского процессуального кодекса Российской Федерации, суд решил: исковые требования публичного акционерного общества «Совкомбанк» к ФИО1 о взыскании задолженности по кредитному договору удовлетворить частично. Взыскать с ФИО1 в пользу публичного акционерного общества «Совкомбанк» задолженность по кредитному договору № ** от 28.05.2012 по состоянию на 08.06.2017 в размере 76667,12 руб., из которых 53968,26 руб. – просроченная ссуда за период с 29.04.2014 по 08.06.2017, 11283,09 руб. – просроченные проценты за период с 29.04.2014 по 08.06.2017, 4612 руб. – штрафные санкции за просрочку уплаты кредита за период с 29.04.2014 по 08.06.2017, 4743,77 руб. – штрафные санкции за просрочку уплаты процентов за период с 29.04.2014 по 08.06.2017, 1560 руб. – страховая премия за период с 29.04.2014 по 08.06.2017, 500 руб. - комиссия за оформление и обслуживание банковской карты. В возмещение судебных расходов по уплате государственной пошлины взыскать с ФИО1 в пользу публичного акционерного общества «Совкомбанк» 3537,84 руб. Решение может быть обжаловано в течение месяца со дня принятия решения суда в окончательной форме путем подачи апелляционной жалобы в Томский областной суд через Северский городской суд Томской области. Председательствующий Е.Н.Попова Суд: Северский городской суд (Томская область) (подробнее) Истцы: ПАО "Совкомбанк" (подробнее) Судьи дела: Попова Е.Н. (судья) (подробнее) Последние документы по делу: Решение от 4 сентября 2017 г. по делу № 2-1167/2017 Решение от 10 июля 2017 г. по делу № 2-1167/2017 Показать все документы по этому делу Судебная практика по: Признание договора незаключенным Судебная практика по применению нормы ст. 432 ГК РФ По кредитам, по кредитным договорам, банки, банковский договор Судебная практика по применению норм ст. 819, 820, 821, 822, 823 ГК РФ Исковая давность, по срокам давности Судебная практика по применению норм ст. 200, 202, 204, 205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