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Досягаемость ими мест посещения и беспрепятственность перемещения внутри зданий и сооружений,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2.безопасность путей движения (в том числе эвакуационных), а также месте проживания, мест обслуживания и мест приложения труда указанных групп населения. В соответствии с постановлением приятельства Российской Федерации № 1521 от 01.07.2015 мероприятия по формированию безбарьерной среды на объекте должны проводиться в соответствии с требованиями перечня частей сводов правил,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 в части обеспечения безбарьерной среды. Таким сводом правил определен СП 59.13330.2012 «СНиП 35-01-2001 «доступность зданий и сооружений для маломобильных групп населения». Статьями 3,4 Приказа ФИО4 России от 09.11.2015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 определены обязанности по обеспечению руководителями органов и организаций, предоставляющих услуги в сфере образования, по созданию инвалидам условий доступности объектов в соответствии с требованиями, установленными законодательными и иными нормативными правовыми актами. Представители ответчика в ходе судебного разбирательства пояснили, что часть требований истца ими на момент рассмотрения дела удовлетворена. С учетом изложенного, суд находит исковые требования подлежащими частичному удовлетворению. На основании вышеизложенного и руководствуясь ст. ст. , , , , , - 199 ГПК РФ , суд Р Е Ш И Л: Исковые требования Прокурора Фрунзенского района Санкт-Петербурга удовлетворить частично. Обязать СПб ГБПОУ «Медицинский техникум № 2»в течении 180 дней с момента вынесения судом &lt;адрес&gt; Санкт-Петербург, &lt;адрес&gt;: -оборудовать водоотводом навес над входной площадкой, -оборудовать вход тактильной информационной вывеской, содержащей информацию о наименовании, контактных телефонах и графике работы, -входы оборудовать пандусом/подъемным устройством, -произвести ремонтные работы по устранению одиночной ступени в тамбуре, -оборудовать дверные пороги на территории учреждения высотой не менее 0,014 м, -установить при входе информационную тактильную мнемосхему, -оборудовать аудитории специальными персональными приборами усиления звука, индукционными контурами или другими индивидуальными беспроводными устройствами, -разместить информацию в удобном для посетителя-инвалида по зрению (или граждан с нарушением зрения) месте и в доступной для него форме, -установить информирующие обозначения помещений, выполненные рельефными знаками, а также с использованием рельефно-точечного шрифта Брайля рядом с дверью со стороны дверной ручки, -установить у двери санузла информационные таблички, обозначающие назначение помещения, выполненные рельефно-графическим и рельефно-точечным способом, -оборудовать уровень пола при входе в санузел на высоту не более 0,014 м, -установить опорные поручни в санузле, -оборудовать сантехнику ручным кнопочным управлением, выполненным в соответствии с действующими требованиями законодательства. Взыскать с СПб ГБПОУ «Медицинский техникум № 2» государственную пошлину в размере 300 (триста) рублей в доход государства. Решение может быть обжаловано сторонами в Санкт-Петербургский городской суд в течение месяца путем подачи апелляционной жалобы (представления) через Фрунзенский районный суд. Судья Суд: Фрунзенский районный суд (Город Санкт-Петербург) (подробнее) Судьи дела: Васильева И.Ю. (судья) (подробнее) Последние документы по делу: Решение от 28 ноября 2017 г. по делу № 2-3030/2017 Решение от 7 сентября 2017 г. по делу № 2-3030/2017 Решение от 6 августа 2017 г. по делу № 2-3030/2017 Решение от 2 июля 2017 г. по делу № 2-3030/2017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