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Взаимные права и обязанности цедента и цессионария определяются настоящим Кодексом и договором между ними, на основании которого производится уступка.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Требование переходит к цессионарию в момент заключения договора, на основании которого производится уступка, если законом или договором не предусмотрено иное.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иное не предусмотрено договором, цедент обязан передать цессионарию все полученное от должника в счет уступленного требования. Судом установлено, что (Дата обезличена) между ООО «Рантект-МФД» и ЗАО «Грандситистрой» заключен договор (№) от (Дата обезличена) участия в долевом строительстве многоквартирного дома (л.д. 10-21). В соответствии с дополнительным соглашением (№) к договору от (Дата обезличена). (№) участия в долевом строительстве его объектом являются квартиры, расположенные по строительному адресу: (адрес) Между ФИО1 и ЗАО «Грандситистрой» заключен договор уступки права требования (№)ц от (Дата обезличена) по договору (№) от (Дата обезличена) участия в долевом строительстве многоквартирного дома (л.д. 119-127). Предметом настоящего договора является (№) расположенная по строительному адресу: (адрес) Истец указывает, что в нарушении условий договора (№) от (Дата обезличена) ответчик не исполнил своих обязательств по уплате цены квартиры в полном объеме, а именно суммы в размере 288927,60 руб. в счет увеличения площади квартиры. В соответствии с п. 3.7 договора уступки права требования (№) от (Дата обезличена), окончательная цена квартиры определяется по правилам п. 5.9 договора участия в долевом строительстве, а соответствующие взаиморасчеты производятся по п. 5.10, 5.11 договора долевого участия. Пунктом 5.9. дополнительного соглашения (№) к договору от (Дата обезличена) (№) участия в долевом строительстве (л.д. 32-36) предусмотрено, что окончательная цена квартиры определяется исходя из стоимости одного квадратного метра ее площади, установленной п. 1.3 настоящего договора и фактической (по данным БТИ) площади всех частей квартиры с учетом неотапливаемых помещений с коэффициентом «1». При этом оплате подлежит каждый квадратный метр фактической площади всех частей квартиры без применения для балконов и лоджий понижающих коэффициентов. Согласно п. 5.10 дополнительного соглашения (№), если окончательная цена квартиры, определенная по правилам п. 5.9 настоящего договора, превысит денежную сумму, уплаченную застройщику за квартиру к моменту определения окончательной цены квартиры, участник долевого строительства доплачивает застройщику разницу между окончательной ценой квартиры и денежной суммы уплаченной застройщику за квартиру к этому моменту. Участник долевого строительства исполняет обязанность, предусмотренную настоящим пунктом, в течение десяти рабочих дней со дня получения от застройщика сообщения о завершении строительства многоквартирного дома и о готовности квартиры к передаче (но до подписания акта приема-передачи квартиры) – путем перечисления денежных средств на расчетный счет застройщика. Согласно технического паспорта многоквартирного дома, расположенного по адресу: (адрес) изготовленного ГУП МОБТИ, площадь (№) составила 59,2 кв.м. Суд, учитывая изложенное, проверив расчет суммы, подлежащей к уплате представленный истцом, удовлетворяет заявленное ООО «Рантект-МФД» требование и взыскивает с ФИО1 288927,60 руб. в счет доплаты по договору (№) от (Дата обезличена). При этом, суд не принимает во внимание довод ответчика о том, что решением Одинцовского городского суда Московской области от (Дата обезличена) за ФИО1 признано право собственности на спорное квартиру, и данным решением и апелляционным определением от (Дата обезличена) установлено, что ответчиком обязательства по договору исполнены, поскольку данными судебными актами установлено, что ФИО1 исполнены обязательства по договору уступки права требования (№)ц от (Дата обезличена), а не по договору (№)-ДУДС/16 от (Дата обезличена) участия в долевом строительстве многоквартирного дома. Кроме того, принимая решение, суд принимает во внимание п. 1 ст. 421 ГК РФ о свободе договора, в связи с чем приходит к выводу, что заключая договор инвестирования, стороны договора по собственному усмотрению решают вопросы о его содержании, самостоятельно определяют, в том числе, понятие подлежащего передаче объекта долевого строительства, инвестиционную стоимость строящегося объекта в соответствии с проектной документацией. И из буквального толкования договора долевого участия по данному делу не следует, что стороны при определении характеристик объекта долевого строительства договорились использовать понижающий коэффициент для определения общей площади квартиры с учетом лоджий, балконов А Инструкция о проведении учета жилищного фонда в РФ, утвержденная Приказом Минземстроя Российской Федерации от 4 августа 1998 г. N 37, на которую ссылается ответчик, определяет основные требования к организации и порядку проведения технической инвентаризации и учета жилищного фонда в городах и других поселениях Российской Федерации, для оценки и переоценки жилых строений и жилых помещений, в том числе для целей налогообложения; информационное и консультационное обслуживание и иную деятельность, связанную с государственным учетом жилищного фонда. В связи с чем Пункт 3.37 названной Инструкции, в соответствии с которым при подсчете площади квартиры во внимание принимаются площади лоджии и балконов с учетом понижающего коэффициента подлежит применению исключительно при подсчете площадей зданий для технического учета жилищного фонда и для отношений между дольщиками и застройщиками обязательного характера не носит, равно как и ст. ЖК РФ не регулирует спорные правоотношения. На основании изложенного и руководствуясь ст.ст. - 199 ГПК РФ нвестиционным контрактом на строительство жилого дома в г. ления земельного участкакт приемочной комиссии по приемке в эксплуатccc, суд Р Е Ш И Л: Исковые требования ООО «Рантект-МФД» к ФИО1 о взыскании задолженности по договору - удовлетворить частично. Взыскать с ФИО1 в пользу ООО «Рантект-МФД» 288927 (Двести восемьдесят восемь тысяч девятьсот двадцать семь) рублей 60 коп. - в счет доплаты по договору. Решение может быть обжаловано в Московский областной суд через Истринский городской суд путем подачи апелляционной жалобы в течение месяца со дня принятия решения суда в окончательной форме. Председательствующий: Мотивированное решение изготовлено (Дата обезличена). Суд: Истринский городской суд (Московская область) (подробнее) Истцы: ООО Рантект-МФД (подробнее) Судьи дела: Захарова Е.А. (судья) (подробнее) Последние документы по делу: Решение от 4 февраля 2018 г. по делу № 2-1957/2017 Решение от 10 декабря 2017 г. по делу № 2-1957/2017 Решение от 27 ноября 2017 г. по делу № 2-1957/2017 Решение от 15 октября 2017 г. по делу № 2-1957/2017 Решение от 27 сентября 2017 г. по делу № 2-1957/2017 Решение от 26 сентября 2017 г. по делу № 2-1957/2017 Решение от 18 сентября 2017 г. по делу № 2-1957/2017 Решение от 12 сентября 2017 г. по делу № 2-1957/2017 Решение от 12 сентября 2017 г. по делу № 2-1957/2017 Решение от 3 августа 2017 г. по делу № 2-1957/2017 Решение от 7 июня 2017 г. по делу № 2-1957/2017 Решение от 17 мая 2017 г. по делу № 2-1957/2017 Решение от 24 апреля 2017 г. по делу № 2-1957/2017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