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судебного разбирательства суд вправе избрать, изменить или отменить меру пресечения в отношении подсудимого.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заключение под стражу избрано подсудимому в качестве меры пресечения, то срок содержания его под стражей со дня поступления уголовного дела в суд и до вынесения приговора не может превышать 6 месяцев, за исключением случаев, предусмотренных частью третьей настоящей статьи. В соответствии с ч.ч.3 и 4 ст. 255 УПК РФ суд, в производстве которого находится уголовное дело, по истечении 6 месяцев со дня поступления уголовного дела в суд вправе продлить срок содержания подсудимого под стражей. При этом продление срока содержания под стражей допускается только по уголовным делам о тяжких и особо тяжких преступлениях и каждый раз не более чем на 3 месяца. Решение суда о продлении срока содержания подсудимого под стражей может быть обжаловано в апелляционном порядке. Обжалование не приостанавливает производство по уголовному делу. В соответствии со ст. 99 УПК РФ перечисленные в ней обстоятельства, подлежащие учету при принятии судьей решения о применении меры пресечения, должны оцениваться в их совокупности. ФИО1 обвиняется в совершении особо тяжкого преступления, продлевая меру пресечения в отношении него, суд учел характер и тяжесть инкриминируемого преступления, обстоятельства его совершения, отрицательные данные о личности подсудимого, который ранее неоднократно судим, привлекался к административной ответственности, объявлялся в розыск. Суд учитывал возможные последствия в случае изменения меры пресечения, мотивировав свои выводы. Установление срока содержания под стражей осуществлено в порядке ст. 255 УПК РФ , то есть срок установлен с момента поступления дела в суд. Каких-либо медицинских данных о невозможности нахождения ФИО1 под страже в материалах дела не имеется. Нарушений процессуального закона, влекущих за собою отмену постановления судьи, нет. На основании изложенного и руководствуясь ст.ст. 389.20 , 389.33 УПК РФ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