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защзитника ФИО1 постановление Административной комиссии при Управе Ленинского района г.о.г.Воронеж № от ДД.ММ.ГГГГ по делу об административном правонарушении в отношении директора АО «УК Ленинского района» ФИО1 по ст.33.1 Закона Воронежской области от ДД.ММ.ГГГГ.№-ОЗ «Об административных правонарушениях на территории Воронежской области» оставлено без изменения. Решением Воронежского областного суда от ДД.ММ.ГГГГ вышеуказанное решение Ленинского районного суда г.Воронежа от ДД.ММ.ГГГГ отменено, дело направлено на новое рассмотрение в тот же районный суд. ДД.ММ.ГГГГ в Ленинский районный суд г.Воронежа из Воронежского областного суда поступило вышеуказанное дело для нового рассмотрения. В заявлении (жалобе) и в судебном заседании директор АО «УК Ленинского района» указывает, что основанием для его привлечения к административной ответственности послужило то, что при осмотре территории по адресу: &lt;...&gt; был установлен факт нанесения на фасад указанного дома надписей, графических изображений нарушающих внешний вид дома, что является нарушением п.3.2, 7-1.7 Правил благоустройства территории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