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Пермь</w:t>
      </w:r>
    </w:p>
    <w:p>
      <w:pPr>
        <w:spacing w:after="200"/>
        <w:jc w:val="center"/>
      </w:pPr>
      <w:r>
        <w:rPr>
          <w:rFonts w:ascii="Times New Roman" w:hAnsi="Times New Roman" w:eastAsia="Times New Roman" w:cs="Times New Roman"/>
          <w:b w:val="0"/>
          <w:i w:val="0"/>
          <w:sz w:val="22"/>
        </w:rPr>
        <w:t>26 сентября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регистрация права собственности гражданина на земельный участок, предоставленный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следующих документов: 1)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 2)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 3)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 4) иной документ, устанавливающий или удостоверяющий право такого гражданина на указанный земельный участок.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Государственная регистрация права собственности гражданина на указанный в части 1 настоящей статьи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настоящей статьи. При этом вместо документа, устанавливающего или удостоверяющего право такого гражданина на этот земельный участок,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 1)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 2) один из документов, предусмотренных частью 1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Представление предусмотренных пунктом 1 части 2 настоящей статьи документов не требуется в случае, если право собственности гражданина на указанное здание (строение) или сооружение зарегистрировано в Едином государственном реестре недвижимости. Доводы, изложенные истцом в обосновании заявленных требований, не являются основаниями для удовлетворения иска, учитывая перечисленные нормы права. Погашение зарегистрированного права относится к компетенции Управления Росреестра по Пермскому краю. Перечисленные в иске нормы права и доводы, изложенные в его обоснование, не являются основанием для удовлетворения заявленных требований. Потому в иске ФИО2 следует отказать. Руководствуясь статьями - гражданского процессуального кодекса Российской Федерации, суд РЕШИЛ: В иске, заявленном ФИО2, - отказать. Решение в течение месяца со дня изготовления его в окончательной форме может быть обжаловано в Пермский краевой суд через Индустриальный районный суд города Перми. Судья Турьева Н.А. Суд: Индустриальный районный суд г. Перми (Пермский край) (подробнее) Судьи дела: Турьева Нина Анатольевна (судья) (подробнее) Последние документы по делу: Решение от 12 декабря 2017 г. по делу № 2-3144/2017 Решение от 8 ноября 2017 г. по делу № 2-3144/2017 Решение от 25 сентября 2017 г. по делу № 2-3144/2017 Решение от 27 августа 2017 г. по делу № 2-3144/2017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