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7</w:t>
      </w:r>
    </w:p>
    <w:p>
      <w:pPr>
        <w:spacing w:after="80"/>
        <w:jc w:val="center"/>
      </w:pPr>
      <w:r>
        <w:rPr>
          <w:rFonts w:ascii="Times New Roman" w:hAnsi="Times New Roman" w:eastAsia="Times New Roman" w:cs="Times New Roman"/>
          <w:b w:val="0"/>
          <w:i w:val="0"/>
          <w:sz w:val="22"/>
        </w:rPr>
        <w:t>город Челябинск</w:t>
      </w:r>
    </w:p>
    <w:p>
      <w:pPr>
        <w:spacing w:after="200"/>
        <w:jc w:val="center"/>
      </w:pPr>
      <w:r>
        <w:rPr>
          <w:rFonts w:ascii="Times New Roman" w:hAnsi="Times New Roman" w:eastAsia="Times New Roman" w:cs="Times New Roman"/>
          <w:b w:val="0"/>
          <w:i w:val="0"/>
          <w:sz w:val="22"/>
        </w:rPr>
        <w:t>25 апреля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Несущий кронштейн в осях «А-Б» ряд 1 на отм. +4.350 не грунтован и не оцинкован, что является нарушением требований листа 2 проекта шифр ГД-03.16.2685, в соответствии с которым стальные элементы, используемые для крепления алюминиевых конструкций к несущим, соприкасающиеся с алюминиевыми элементами, должны быть установлены через паронитовые прокладки и оцинкованы, либо грунтованы.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Отсутствуют анкера, прикрепляющие несущий кронштейн в осях «А-Б» ряд 1 на отм. +4.350 к железобетонному перекрытию, что является нарушением требований листа 32 проекта шифр ГД-03.16.2685, согласно которому несущий кронштейн должен крепиться к железобетонному перекрытию анкерным болтом с гайкой 10x92.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Отсутствует негорючий утеплитель, покрытый оцинкованной сталью 0.7 мм огнедымоотсечки витража Вт-4 в осях «А-Б» ряд 1 на отм. +4.350, что является нарушением требований листа 32 проекта шифр ГД-03.16.2685, в соответствии с которым между 1-ми 2-м этажами витража Вт-4 должна монтироваться огнедымоотсечка, внутри которой укладывается негорючий утеплитель, который покрывается оцинкованной сталью 0.7 мм.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Несущий кронштейн в осях «А-Б» ряд 1 на отм. +8.850 не грунтован и не оцинкован, что является нарушением требований листа 2 проекта шифр ГД-03.16.2685, в соответствии с которым стальные элементы, используемые для крпеления алюминиевых конструкций к несущим, соприкасающиеся с алюминиевыми элементами, должны быть установлены через паронитовые прокладки и оцинкованы, либо грунтованы.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Отсутствует анкер, прикрепляющий несущий кронштейн в осях «А-Б» ряд 1 на отм. +8.850 к железобетонному перекрытию, что является нарушением требований листа 31 проекта шифр ГД-03.16.2685, согласно которому несущий кронштейн должен крепиться к железобетонному перекрытию анкерным болтом с гайкой 10x92.</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Отсутствует негорючий утеплитель, покрытый оцинкованной сталью 0.7 мм огнедымоотсечки витража Вт-4 в осях «А-Б» ряд 1 на отм.+8.850, что является нарушением требований листа 31 проекта шифр ГД-03.16.2685, в соответствии с которым между 2-м и 3-м этажами витража Вт-4 должна мнтироваться огнедымоотсечка, внутри которой укладывается негорючий утеплитель, который покрывается оцинкованной сталью 0.7 мм.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Отсутствует анкер, прикрепляющий несущий кронштейн по оси «А» ряд 5 на отм. +8.850 к железобетонному перекрытию, что является нарушением требований листа 30 проекта шифр ГД-03.16.2685, согласно которому несущий кронштейн должен крепиться к железобетонному перекрытию анкерным болтом с гайкой 10x92.</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Отсутствует негорючий утеплитель, покрытый оцинкованной сталью 0.7 мм огнедымоотсечки витража Вт-13 по оси «А» ряд 5 на отм. +8.850, что является нарушением требований листа 31 проекта шифр ГД-03.16.2685, в соответсвии с которым между 2-м и 3-м этажами витража Вт-13 должна монтироваться огнедымоотсечка, внутри которой укладывается негорючий утеплитель, который покрывается оцинкованной сталью 0.7 мм.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Раздел 1 общего журнала работ заполнен не полностью, что является нарушением требований п. 8.1 РД-11-05-2007, в соответствии с которым в раздел 1 «Список инженерно-технического персонала лица, осуществляющего строительство, занятого при строительстве, реконструкции, капитальном ремонте объекта капитального строительства» заполняется уполномоченным представителем лица, осуществляющего строительство. В данный раздел вносят данные обо всех представителя инженерно-технического персонала, занятых при строительстве, реконструкции, капитальном ремонте объекта капитального строительства.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Раздел 2 общего журнала работ не заполнен, что является нарушением требований п.8.2 РД-11-05-2007, согласно которому Раздел 2 «Перечень специальных журналов, в которых ведется учет выполнения работ, а также журналов авторского надзора лица, осуществляющего подготовку проектной документации» заполняется уполномоченным представителем застройщика или заказчика. Лица, осуществляющего строительство, а в случае привлечения застройщиком или заказчиком по своей инициативе лица, осуществляющего подготовку проектной документации, для проверки соответствия выполняемых работ проектной документации, также представителем лица, осуществляющего подготовку проектной документации.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Раздел 5 общего журнала работ представителем лица, осуществляющего строительство не ведется, что является нарушением требовании п.8.5 РД-11-05-2007, согласно которому в Раздел 5 «Сведения о строительном контроле лица, осуществляющего строительство, в процессе строительства, реконструкции, капитального ремонта объекта капитального строительства» заполняется уполномоченным представителем лица, осуществляющего строительство. В указанный раздел включаются все данные о выявленных строительным контролем при выполнении работ по строительству, реконструкции, капитальному ремонту объекта капитального строительства, сведения об устранении указанных недостатков, а также о применяемых строительным контролем схемах контроля выполнения работ при строительстве, реконструкции, капитальном ремонте объекта капитального строительства.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Отсутствует проект производства работ на проверяемые работы, что является листа 2 проекта шифр ГД-03.16.2685, согласно которому последовательность монтажа конструкций и меры по обеспечению их прочности и устойчивости в процессе монтажа необходимо предусмотреть в проекте производства работ, согласно СП 48.13330.2011 «Организация строительства».</w:t>
      </w:r>
    </w:p>
    <w:p>
      <w:pPr>
        <w:pStyle w:val="Heading3"/>
      </w:pPr>
      <w:r>
        <w:rPr>
          <w:rFonts w:ascii="Times New Roman" w:hAnsi="Times New Roman" w:eastAsia="Times New Roman" w:cs="Times New Roman"/>
          <w:b/>
          <w:i w:val="0"/>
          <w:sz w:val="22"/>
        </w:rPr>
        <w:t>Пункт 13. Выводы</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Отсутствует журнал сварочных работ, что является нарушением требований п. 3.5 СП 70.13330.2012 «Несущие и ограждающие конструкции», согласно которому данные о производстве строительно монтажных работ следует ежедневно вносить в журналы работ по монтажу строительных конструкций (приложение А), сварочных работ (приложение Б), антикоррозийной защиты сварных соединений (приложение В), замоноличивание монтажных стыков и узлов (приложение Г), выполнения монтажных соединений на болтах с контролируемым натяжением (приложение Д), журнал бетонных работ (приложение Ф), а также фиксировать по ходу монтажа конструкций их положение на геодезических исполнительных схемах. Качество строительно-монтажных работ должно быть обеспечено текущим контролем технологических процессов подготовительных и основных работ, а также при приемке работ. По результатам текущего контроля технологических процессов составляют акты освидетельствования скрытых работ. При проверке полноты и последовательности и состава технологических операций при осуществлении строительства объекта капитального строительства, не обнаружены выявленные в результате проведенной проверки нарушения. В разделе 4 общего журнала работ «Сведения о строительном контроле заказчика, в процессе строительства, реконструкции, капитального ремонта объекта капитального строительства» отсутствуют записи о выявленных в результатах проведенной проверки нарушениях. Следовательно, строительный контроль застройщиком, осуществляется не надлежащим образом, что является нарушением требований п.6, 12 «Положения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утвержденного постановлением Правительства от 21.06.2010 г.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и п. 8.5 РД-11-05-2007 «Порядок ведения общего и специального журнала учета выполнения работ при строительстве, реконструкции, капитальном ремонте объектов капитального строительства», утвержденных приказом Федеральной службы по экологическому, технологическому и атомному надзору от 12.01.2007 г. №7, в соответствии с которым строительный контроль, осуществляемый заказчиком, включает проверку полноты и соблюдения сроков выполнения подрядчиком контроля последовательности и состава технологических операций по осуществлению строительства объектов капитального строительства и достоверности документирования его результатов. Согласно п. 8.4.2. ст. 8.4 Устава ООО «ОПТИМА» руководство текущей деятельностью Общества осуществляется единоличным исполнительным органом Общества - *** Общества, избираемый Общим собранием участников Общества на 2 года (п. 8.4.3. ст. 8.4. Устава ООО «ОПТИМА»). В соответствии с решением общего собрания учредителей ООО «Оптима» ФИО1 назначен *** ООО «ОПТИМА» (копия протокола № 6 от 19 ноября 2014 года). С момента назначения ФИО1 *** ООО «ОПТИМА», именно на него, как на руководителя юридического лица, возлагается ответственность за соблюдение возглавляемым им юридическим лицом требований закона, предъявляемых к осуществляемой организацией деятельности. Судья районного суда, исследовав представленные доказательства и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пришел к правильному выводу о наличии в действиях *** ООО «Оптима» - ФИО1 признаков состава административного правонарушения, предусмотренного ч. 1 ст. 9.4 Кодекса Российской Федерации об административных правонарушениях. Фактические обстоятельства дела подтверждаются собранными доказательствами: распоряжением Управления регионального государственного строительного надзора №34 от 05 февраля 2016 года, распоряжением о проведении внеплановой выездной проверки № ГСН-366/17 от 09 февраля 2017 года, актом проверки № 14/1 от 22 февраля 2017 года и приложением к акту проверки, протоколом об административном правонарушении от 14 марта 2017 года, постановлением по делу об административном правонарушении № 103/17 от 29 ноября 2017 года, фотографиями, а также выкопировкой из общего журнала работ приложенными к акту проверки и иными материалами дела, которые оценены по правилам статьи 26.11 Кодекса Российской Федерации об административных правонарушениях с точки зрения их относимости, допустимости, достоверности и достаточности. Учитывая изложенное, действия *** ООО «Оптима» - ФИО1 квалифицированы в соответствии с установленными обстоятельствами и требованиями Кодекса Российской Федерации об административных правонарушениях. При назначении наказания требования ст. ст. 3.1 , 3.5 , 4.1 - 4.3 Кодекса Российской Федерации об административных правонарушениях соблюдены. Наказание назначено в пределах санкции ч. 1 ст. 9.4 Кодекса Российской Федерации об административных правонарушениях, является обоснованным и справедливым. Вопреки доводам жалобы оснований для изменения назначенного наказания на предупреждение в соответствии с положениями статьи 4.1.1 Кодекса Российской Федерации об административных правонарушениях не усматриваю. Согласно ч. 1 ст. 3.1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 В соответствии с ч. 2 ст. 3.4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Положениями ч. 1 ст. 4.1.1 Кодекса Российской Федерации об административных правонарушениях установлено, что являющимся субъектами малого и среднего предпринимательства лицам, осуществляющим предпринимательскую деятельность без образования юридического лица, и юридическим лицам, а также их работникам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 2 ст. 3.4 настоящего Кодекса, за исключением случаев, предусмотренных ч. 2 настоящей статьи. Вместе с тем анализ взаимосвязанных положений ч. 2 ст. 3.4 и ч. 1 ст. 4.1.1 Кодекса Российской Федерации об административных правонарушениях применительно к обстоятельствам настоящего дела не позволяет сделать вывод о наличии оснований для замены наложенного на *** ООО «Оптима» - ФИО1 административного штрафа на предупреждение, поскольку в результате совершенного деяния возникла угроза причинения вреда неопределенному кругу лиц, доказательств обратного не представлено. Однако ссылка заявителя, что протокол не содержит описания всех нарушений которые содержатся в постановлении по делу об административном правонарушении заслуживает внимания. Согласно части 2 статьи 28.2 Ко АЛ РФ в протоколе об административном правонарушении указываются, в том числе,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Согласно правовой позиции Верховного Суда Российской Федерации, изложенной в Постановлении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в порядке подготовки дела к рассмотрению судья должен также установить, правильно ли составлен протокол об административном правонарушении с точки зрения полноты исследования события правонарушения и сведений о лице, его совершившем, а также соблюдения процедуры оформления протокола. Существенным недостатком протокола является отсутствие данных, прямо перечисленных в части 2 статьи 28.2 КоАП РФ, и иных сведений в зависимости от их значимости для данного конкретного дела об административном правонарушении (п. 4). В данном случае протокол об административном правонарушении не содержит описания события правонарушения изложенного в пунктах 1- 13. Само по себе описание допущенных нарушений в акте проверки, о чем указано в протоколе об административном правонарушении не свидетельствует о выполнении требований части 2 статьи 28.2 КоАП РФ. Пункт 2 части 1 статьи 30.7 и часть 3 статьи 30.9 КоАП РФ предусматривают возможность при пересмотре решения, вынесенного по жалобе на постановление по делу об административном правонарушении, изменить постановление по делу об административном правонарушении, если при этом не усиливается административное наказание или иным образом не ухудшается положение лица. Учитывая, что в соответствии с разъяснениями Пленума Верховного Суда Российской Федерации, изложенными в пункте 4 постановления от 24.03.2005 N 5 (ред. от 19.12.2013) "О некоторых вопросах, возникающих у судов при применении Кодекса Российской Федерации об административных правонарушениях", указанное нарушение не относится к существенным недостаткам протокола об административном правонарушении, препятствующим производству по делу, могло и должно было быть устранено при рассмотрении дела об административном правонарушении и жалобы на вынесенное по результатам рассмотрения дела постановление о назначении административного наказания, прихожу к выводу о необходимости изменения обжалуемого решения судьи и постановления должностного лица о назначении административного наказания, путем исключения из постановления о назначении административного наказания и решения судьи районного суда указания на нарушения указанные в пунктах с 1 по 13. Исключение из постановления о назначении административного наказания излишне указанных действий, не влечет смягчение назначенного наказания, с учетом того, что размер назначенного наказания в виде административного штрафа определен в минимально предусмотренном санкцией размере и снижению не подлежит. Вышеуказанное изменение постановления о назначении административного наказания и решения судьи не усиливает административное наказание или иным образом не ухудшает положение виновного. Иных оснований для изменения либо отмены обжалуемого решения судьи и постановления должностного лица по делу об административном правонарушении. При производстве по делу об административном правонарушении порядок и срок давности привлечения к административной ответственности, установленные ч. 1 ст. 4.5 Кодекса Российской Федерации об административных правонарушениях, не нарушены Существенные процессуальные нарушения требований Кодекса РФ об административных правонарушениях, которые не позволили бы правильно, полно и всесторонне рассмотреть дело об административном правонарушении, жалобу на постановление по делу, не допущены. С учетом изложенного основания для удовлетворения жалобы отсутствуют. Руководствуясь ст. ст. 30.6 , 30.7 Кодекса Российской Федерации об административных правонарушениях, судья областного суда решил: постановление заместителя Министра строительства и инфраструктуры Челябинской области ФИО2 от 29 ноября 2017 года и решение судьи Центрального районного суда г. Челябинска от 05 февраля 2018 года, по делу об административном правонарушении, предусмотренном ч. 1 ст. 9.4 Кодекса Российской Федерации об административных правонарушениях в отношении ФИО1 оставить без изменения, жалобу ФИО1 - без удовлетворения. Судья Е.Н. Майорова Суд: Челябинский областной суд (Челябинская область)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