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Чистякова Юрия Владимировича на нарушение его конституционных прав статьей 357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Ю.В.Чистякова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Ю.В.Чистяков оспаривает конституционность статьи 357 главы 28 «Транспортный налог» Налогового кодекса Российской Федерации, предусматривающей, что плательщиками транспортного налога признаются лица, на которых в соответствии с законодательством Российской Федерации зарегистрированы транспортные средства, признаваемые объектом налогообложения в соответствии со статьей 358 данного Кодекса. Из представленных материалов следует, что решением суда общей юрисдикции, с которым согласились вышестоящие суды, удовлетворено административное исковое заявление налогового органа о взыскании с Ю.В.Чистякова, являющегося инвалидом I группы, в том числе недоимки по 2 транспортному налогу в отношении двух принадлежащих ему транспортных средств, мощность двигателей которых составляет 130 и 195 лошадиных сил. При этом суды исходили из того, что на заявителя с учетом характеристик принадлежащих ему транспортных средств не распространяется налоговая льгота, предусмотренная статьей 3 Закона Алтайского края от 10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Чистякова Юрия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