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Саблина Николая Ивановича на нарушение его конституционных прав пунктами 1, 2 и 31 статьи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Н.И.Саблина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Н.И.Саблин оспаривает конституционность пунктов 1, 2 и 31 статьи 222 ГК Российской Федерации, закрепляющих понятие, признаки самовольной постройки, последствия ее возведения, а также порядок принятия решения о сносе самовольной постройки (приведении ее в соответствие с установленными требованиями). Как следует из представленных материалов, решением суда, с которым согласились суды вышестоящих инстанций, удовлетворен иск органа исполнительной власти субъекта Российской Федерации к Н.И.Саблину о сносе самовольной постройки. Суды установили, что указанная постройка возведена 2 на земельном участке, разрешенное использование которого не допускает строительства на нем такого объекта, а также указали, что спорный объект не входит в границы земельного участка, предоставленного в пользование кооперативу, членом которого является Н.И.Саблин. По мнению заявителя, оспариваемые положения противоречат статьям 17 (часть 2) и 35 (части 1–3) Конституции Российской Федерации, поскольку по смыслу, придаваемому им правоприменительной практикой, не предоставляют лицу, осуществившему самовольное строительство, возможности приобретения права на самовольную постройку в силу изменившихся после вынесения решения суда обстоятельств.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Саблина Николая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