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Берденко Андрея Ивановича на нарушение его конституционных прав частью 1 статьи 12.8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А.И.Берденко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А.И.Берденко оспаривает конституционность части 1 статьи 12.8 «Управление транспортным средством водителем, находящимся в состоянии опьянения, передача управления транспортным средством лицу, находящемуся в состоянии опьянения» КоАП Российской Федерации. Как следует из представленных материалов, постановлением мирового судьи, оставленным без изменения вышестоящими судами, А.И.Берденко привлечен к административной ответственности за управление транспортным средством в состоянии опьянения. По мнению заявителя, оспариваемое законоположение не соответствует статьям 45 (часть 2), 46 (часть 1), 49 (части 1 и 3) и 50 (часть 2) Конституции 2 Российской Федерации, поскольку допускает привлечение к административной ответственности на основании акта медицинского освидетельствования, составленного с нарушением закона.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Берденко Андрея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