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статьи 61 «Разумный срок уголовного судопроизводства» УПК Российской Федерации, части второй статьи 297 «Неуважение к суду» УК Российской Федерации, а также ряда положений Кодекса административного судопроизводства Российской Федерации. Как утверждает Э.А.Гусейнов, положения названных законодательных актов, будучи примененными судами в конкретных делах с его участием,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