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Ефремова Игоря Петровича на нарушение его конституционных прав пунктом 1 статьи 1153 и пунктом 1 статьи 1154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И.П.Ефремова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И.П.Ефремов оспаривает конституционность пункта 1 статьи 1153 «Способы принятия наследства» и пункта 1 статьи 1154 «Срок принятия наследства» ГК Российской Федерации. Как следует из представленных материалов, решением суда, с которым согласились суды вышестоящих инстанций, в удовлетворении иска И.П.Ефремова к гражданке Е. о признании права собственности в порядке наследования по закону отказано. При этом суды отклонили довод истца о пропуске Е. срока принятия наследства. По мнению заявителя, оспариваемые законоположения противоречат статьям 2, 19 и 46 (часть 1) Конституции Российской Федерации, поскольку 2 предоставляют недобросовестным наследникам возможность нарушения прав иных лиц, не содержат положений, устанавливающих обязанность подтверждения наследником своевременности обращения к нотариусу с заявлением о принятии наследства, чем не позволяют обеспечить доказывание в гражданском процессе факта пропуска срока принятия наследства иным наследником.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Ефремова Игоря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