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Рожиной Людмилы Ивановны на нарушение ее конституционных прав статьями 6, 71, 79 и 81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Л.И.Рожиной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Л.И.Рожина оспаривает конституционность статей 6 «Обязательность решений Конституционного Суда Российской Федерации», 71 «Виды решений», 79 «Юридическая сила решений» и 81 «Последствия неисполнения решения» Федерального конституционного закона от 21 июля 1994 года № 1-ФКЗ «О Конституционном Суде Российской Федерации». Как следует из представленных материалов, решением мирового судьи, с которым согласились суды вышестоящих инстанций, частично удовлетворены исковые требования товарищества собственников жилья к заявительнице о взыскании с последней задолженности за услуги по содержанию и текущему ремонту общего имущества в многоквартирном доме. 2 По мнению заявительницы, оспариваемые законоположения не соответствуют статье 125 Конституции Российской Федерации, поскольку они позволяют судам при взыскании с гражданина задолженности за услуги по содержанию и текущему ремонту общего имущества в многоквартирном доме игнорировать правовые позиции, изложенные в Постановлении Конституционного Суда Российской Федерации от 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Рожиной Людмилы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