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925126-П/2026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Городнова Кирилла Владимировича на нарушение его конституционных прав статьями 17, 29, 75, 87 и 88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К.В.Городнова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22 января 2024 года, с которым согласился заместитель Председателя того же суда (письмо от 8 мая 2024 года), отказано в передаче для рассмотрения в судебном заседании суда кассационной инстанции жалобы в защиту гражданина К.В.Городнова об оспаривании вынесенного в его отношении приговора и последующих судебных решений. Очередная кассационная жалоба заявителя возвращена письмом судьи Верховного Суда Российской Федерации от 6 ноября 2024 года без рассмотрения как повторная. Заявитель указывает на несоответствие Конституции Российской Федерации статей 17 «Свобода оценки доказательств», 29 «Полномочия суда», 2 75 «Недопустимые доказательства», 87 «Проверка доказательств» и 88 «Правила оценки доказательств» УПК Российской Федерации, как допускающих использование в процессе доказывания сфальсифицированных и недопустимых доказательств. Кроме того, заявитель ходатайствует о восстановлении пропущенного срока на подачу жалобы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Городнова Кирилла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