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Ишкова Виктора Михайловича на нарушение его конституционных прав частями первой и пятой статьи 415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В.М.Ишкова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10 марта 2026 года возвращено без рассмотрения обращение гражданина В.М.Ишкова о возобновлении производства по его уголовному делу ввиду новых обстоятельств, в качестве которых им указывалось, в частности, принятие Конституционным Судом Российской Федерации Постановления от 14 июля 2017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Вопрос о проверке конституционности части пятой статьи 415 УПК Российской Федерации уже ставился В.М.Ишковым в аналогичном аспекте в его предшествующей жалобе, и по результатам ее изучения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Ишкова Виктора Михайловича,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