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925143-П/2026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Тимошенкова Андрея Валерьевича на нарушение его конституционных прав статьей 135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А.В.Тимошенкова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А.В.Тимошенков, привлеченный к уголовной ответственности, просит признать не соответствующей статьям 49 (часть 3), 50 (часть 1) и 54 (часть 2) Конституции Российской Федерации статью 135 «Развратные действия» УК Российской Федерации. По мнению заявителя, данная норма не определяет, что представляют собой развратные действия, что позволяет правоприменительным органам произвольно применять ее; допускает возможность квалифицировать одно и то же деяние как развратные действия и как незаконные изготовление в целях 2 распространения и распространение порнографических материалов среди несовершеннолетних с использованием сети Интернет.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последний из представленных А.В.Тимошенковым судебных актов по существу его уголовного дела – постановление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 датирован 6 декабря 2024 года. Следовательно, заявителем пропущен годичный срок для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Тимошенкова Андрея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