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38-П/2016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публичного акционерного общества «Крымхлеб» на нарушение конституционных прав и свобод абзацем третьим части 1 и частью 3 статьи 2-1 Закона Республики Крым «Об особенностях регулирования имущественных и земельных отношений на территории Республики Крым»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ПАО «Крымхлеб»,</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96 и 97 Федерального конституционного закона «О Конституционном Суде Российской Федерации», конкретизирующими статью 125 (часть 4) Конституции Российской Федерации, граждане вправе обратиться в</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Конституции Российской Федерации признание, соблюдение и защита права частной собственности, относящегося к основным правам человека и гражданина, составляет обязанность государства (статья 2; статья 8, часть 2; статья 17, часть 2). Исходя из этого статья 35 Конституции Российской Федерации предусматривает,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Гарантии охраны частной собственности законом, закрепленные в данной статье Конституции Российской Федерации, распространяются как на сферу гражданско-правовых отношений, так и на отношения государства и личности в публично-правовой сфере (Постановление Конституционного Суда Российской Федерации от 20 мая 1997 года Из представленных ПАО «Крымхлеб»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публичного акционерного общества «Крымхлеб»,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свобода экономической деятельности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вправе иметь имущество в собственности, владеть, пользоваться и распоряжаться им как единолично, так и совместно с другими лицами (статья 35, часть 2). Из статей 17 (части 1 и 2) и 19 (части 1 и 2) Конституции Российской Федерации следует, что эти права гарантируются в Российской Федерации в качестве основных и неотчуждаемых прав и свобод человека и гражданина и реализуются на основе общеправовых принципов юридического равенства, неприкосновенности собственности и свободы договора, предполагающих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Указанные принципы провозглашаются в Гражданском кодексе Российской Федерации в числе основных начал гражданского законодательства (пункт 1 статьи 1). Конституционное право частной собственности, под защитой которого находятся и имущественные права физических и юридических лиц, не является абсолютным. По смыслу статьи 55 (часть 3) во взаимосвязи со статьями 8, 17, 34 и 35 Конституции Российской Федерации, возможные ограничения федеральным законом права владения, пользования и распоряжения 12 имуществом, исходя из фундаментальных принципов верховенства права и юридического равенства и общих принципов права, должны отвечать требованиям справедливости, быть адекватными, пропорциональными, соразмерными и необходимыми для защиты конституционно значимых ценностей, в том числе частных и публичных прав и законных интересов других лиц, носить общий и абстрактный характер, не иметь обратной силы и не затрагивать само существо конституционного права, т.е. не ограничивать пределы и применение основного содержания соответствующих конституционных норм. Конституционные принципы равенства, свободы экономической деятельности и права частной собственности предполагают наличие надлежащих гарантий стабильности и предсказуемости экономических отношений и надежной охраны имущественных прав. Причем, осуществляя регулирование оснований возникновения и прекращения права собственности и других вещных прав, федеральный законодатель должен предусматривать такие способы и механизмы реализации имущественных прав, которые обеспечивали бы защиту этого права не только гражданам Российской Федерации, но и всем другим участникам гражданского оборота. В противном случае для широкого круга участников имущественных отношений будет существовать риск неправомерной утраты имущества, которое может быть беспричинно национализировано государством. Подобная незащищенность вступает в противоречие с конституционными принципами свободы экономической деятельности и правового государства, в котором человек, его права и свободы являются высшей ценностью, а их признание, соблюдение и защита – обязанностью государства (см.: Постановление Конституционного Суда Российской Федерации от 21 апреля 2003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