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Льяновой Асет Сулеймановны на нарушение ее конституционных прав подпунктами 1 и 2 пункта 3 статьи 3782 Налогового кодекса Российской Федерации, а также подпунктом 4 пункта 1.4 Порядка определения вида фактического использования зданий (строений, сооружений) и нежилых помещений для целей налогообложения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А.С.Льяновой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А.С.Льянова оспаривает конституционность подпунктов 1 и 2 пункта 3 статьи 3782 Налогового кодекса Российской Федерации, определяющих условия признания здания (строения, сооружения) административно-деловым центром для целей определения налоговой базы, исчисления и уплаты налога в отношении отдельных объектов недвижимого имущества, а также подпункта 4 пункта 1.4 Порядка определения вида фактического использования зданий (строений, сооружений) и нежилых помещений для целей налогообложения (приложение 1 к постановлению Правительства Москвы от 14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Льяновой Асет Сулеймановны,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