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Гусейнова Эльдара Афраиловича на нарушение его конституционных прав частью третьей статьи 255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 апреля 2022 года гражданину Э.А.Гусейнову отказано в передаче для рассмотрения в судебном заседании суда кассационной инстанции жалобы на решения судов первой и апелляционной инстанций о продлении срока содержания под стражей. В этой связи заявитель просит признать не соответствующей статьям 1 (часть 1), 2, 4 (часть 2), 15 (часть 1), 17 (часть 2), 18, 21 (часть 1), 22, 23 (часть 1), 46, 52, 125, 126 и 128 (часть 3) Конституции Российской Федерации часть третью статьи 255 «Решение вопроса о мере пресечения» УПК Российской 2 Федерации, поскольку она, по его мнению, допускает применение установленных ею правил к подсудимому, признанному по этому же уголовному делу потерпевшим, исключая тем самым охрану прав потерпевших от преступлений.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части третьей статьи 255 УПК Российской Федерации уже ставился Э.А.Гусейновым в его предшествующих жалобах, по которым Конституционным Судом Российской Федерации вынесены определения от 20 июля 2021 года № 1423- О и от 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Гусейнова Эльдара Афраиловича,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