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3538-О/2024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изучив обращения гражданки Л.С.Кулагиной,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переписку с гражданкой Кулагиной Ларисой Сергеевной по вопросу о нарушении ее конституционных прав подпунктами 7, 8 и 9 пункта 1 статьи 31, статьями 44 и 46, пунктом 2 статьи 57, статьями 69 и 78 Налогового кодекса Российской Федерации, а также частью 3 статьи 61, частью 2 статьи 64, частью 4 статьи 200, статьями 227, 332 и 337 КАС Российской Федерации.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Определение Конституционного Суда Российской Федерации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