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«Крымморгидрострой» на нарушение его конституционных прав частью 5 статьи 3 Закона города Севастополя «Об особенностях регулирования имущественных и земельных отношений на территории города Севастополя», пунктом 5 части 1 статьи 2 Закона города Севастополя «О земельном налоге», а также отдельными положениями ряда постановлений Правительства Севастополя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АО «Крымморгидрострой»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«Крымморгидрострой» оспаривает конституционность следующих законоположений: части 5 статьи 3 Закона города Севастополя от 25 июля 2014 года № 46- ЗС «Об особенностях регулирования имущественных и земельных отношений на территории города Севастополя», предусматривающей, что условия и порядок переоформления прав на земельные участки, упомянутые в данной 2 статье, устанавливаются нормативным правовым актом Правительства Севастополя; пункта 5 части 1 статьи 2 Закона города Севастополя от 26 ноября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Частично удовлетворяя требования заявителя и устанавливая годовую ставку арендной платы в размере 2,4%, суды исходили из того, что к отношениям сторон подлежит приоритетному применению законодательство 4 города Севастополя, и именно в этом АО «Крымморгидрострой» усматривает нарушение своих конституционных прав. Между тем, как ранее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«Крымморгидрострой»,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