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ЗАКЛЮЧЕНИЕ</w:t>
      </w:r>
    </w:p>
    <w:p>
      <w:pPr>
        <w:spacing w:after="80"/>
        <w:jc w:val="center"/>
      </w:pPr>
      <w:r>
        <w:rPr>
          <w:rFonts w:ascii="Times New Roman" w:hAnsi="Times New Roman" w:eastAsia="Times New Roman" w:cs="Times New Roman"/>
          <w:b/>
          <w:i w:val="0"/>
          <w:sz w:val="24"/>
        </w:rPr>
        <w:t>№ 17-З/2015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2015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удовлетворении ходатайства Общероссийской ассоциации общественных объединений охотников и рыболовов «Ассоциация Росохотрыболовсоюз» о разъяснении Постановления Конституционного Суда Российской Федерации от 25 июня 2015 года № 17-П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заслушав заключение судьи С.Д.Князева, проводившего на основании статьи 41 Федерального конституционного закона «О Конституционном Суде Российской Федерации» предварительное изучение ходатайства Общероссийской ассоциации общественных объединений охотников и рыболовов «Ассоциация Росохотрыболовсоюз»,</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83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Общероссийской ассоциации общественных объединений охотников и рыболовов «Ассоциация Росохотрыболовсоюз» о разъяснении Постановления Конституционного Суда Российской Федерации от 25 июня 2015 года № 17- П. 6</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