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432-П/2019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Ищенко Ольги Юрьевны на нарушение ее конституционных прав пунктами 2, 3 и 6 статьи 121 и подпунктом «д» пункта 1 статьи 25 Федерального закона «Об обязательном страховании гражданской ответственности владельцев транспортных средств»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В.Г.Ярославцева, рассмотрев по требованию гражданки О.Ю.Ищенко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О.Ю.Ищенко – которой отказано в удовлетворении исковых требований к страховой компании о взыскании страхового возмещения, неустойки, штрафа, иных расходов и компенсации морального вреда и к Российскому союзу автостраховщиков о признании справочника средней стоимости запасных частей при определении размера расходов на восстановительный ремонт в отношении поврежденного транспортного средства не соответствующим требованиям Единой методики определения размера расходов на восстановительный ремонт в отношении поврежденного 2 транспортного средства (утверждена положением Банка России от 19 сентября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пунктов 2, 3 и 6 статьи 121 и подпункта «д» пункта 1 статьи 25 Федерального закона «Об обязательном страховании гражданской ответственности владельцев транспортных средств», предусматривающие проведение независимой технической экспертизы транспортного средства по правилам, утверждаемым Банком России, с использованием методики определения размера расходов на восстановительный ремонт в отношении поврежденного транспортного средства, утверждаемой Банком России, проведение судебной экспертизы транспортного средства с использованием указанной методики, а также осуществление профессиональным объединением страховщиков иных функций, предусмотренных, в частности, нормативными актами Банка России, являются элементом института страхования риска гражданской ответственности владельцев транспортных средств, основанного на принципе разделения ответственности и направленного на повышение уровня защиты права потерпевших на возмещение вреда, причиненного имуществу при использовании транспортных средств иными лицами, не исключают возможности оспаривания принятых Банком России и профессиональным объединением страховщиков актов в судебном порядке и не препятствуют возмещению вреда в полном объеме непосредственным причинителем в соответствии с законодательством Российской Федерации (Определение Конституционного Суда Российской Федерации от 30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Ищенко Ольги Юрьевны, поскольку разрешение поставленных в ней вопросов Конституционному Суду Российской Федерации не подведомственно, а также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