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35-П/2019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Чернуся Александра Захаровича на нарушение его конституционных прав частью первой статьи 208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рассмотрев вопрос о возможности принятия жалобы гражданина А.З.Чернуся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А.З.Чернусь оспаривает конституционность примененной в деле с его участием части первой статьи 208 ГПК Российской Федерации, согласно которой по заявлению взыскателя или должника суд, рассмотревший дело, может произвести индексацию взысканных судом денежных сумм на день исполнения решения суда. По мнению заявителя, оспариваемая норма противоречит Конституции Российской Федерации, ее статье 46 (часть 1), в той мере, в какой содержащееся в ней положение – при отсутствии в системе действующего правового регулирования механизма индексации взысканных судом 2 денежных сумм, с необходимостью признаваемого судебной практикой в качестве применимого, – не содержит критериев, в соответствии с которыми должна осуществляться предусмотренная им индексация.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Чернуся Александра Захаровича, поскольку по поставленному заявителем вопросу Конституционным Судом Российской Федерации ранее было вынесено постановление, сохраняющее свою силу.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