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383070-П/2019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Ишкова Виктора Михайловича на нарушение его конституционных прав статьями 61, 125 и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Н.В.Мельникова, Ю.Д.Рудкина, О.С.Хохряковой, В.Г.Ярославцева, рассмотрев вопрос о возможности принятия жалобы гражданина В.М.Ишкова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В.М.Ишков обратился в Верховный Суд Российской Федерации с кассационной жалобой, в которой просил отменить решения нижестоящих судов по его жалобе на бездействие сотрудников следственного органа, поданной в порядке статьи 125 УПК Российской Федерации. Постановлением судьи Верховного Суда Российской Федерации от 14 сентября 2018 года в передаче кассационной жалобы для рассмотрения в судебном заседании суда кассационной инстации отказано. 2 По утверждению заявителя, статьи 61 «Обстоятельства, исключающие участие в производстве по уголовному делу», 125 «Судебный порядок рассмотрения жалоб» и 144 «Порядок рассмотрения сообщения о преступлении» УПК Российской Федерации не соответствуют статьям 18, 45 и 46 Конституции Российской Федерации, поскольку позволяют следственным органам не проводить доследственную проверку сообщения о совершенном преступлении, а судье – отказывать в удовлетворении заявленного ему отвода, а также жалобы на указанное бездействие следственных органов.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Ишкова Виктора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