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246691-З/2016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группы депутатов Государственной Думы о проверке конституционности пункта 4 статьи 222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13 июля 2015 года № 258-ФЗ в статью 222 ГК Российской Федерации введен пункт 4, в соответствии с которым: 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2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 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 в случае,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 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территории) для официального опубликования (обнародования) муниципальных правовых актов, сообщения о планируемом сносе самовольной постройки; 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 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 в случае,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3 органа местного самоуправления в информационно-телекоммуникационной сети «Интернет» сообщения о планируемом сносе такой постройки. В своем запросе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35 Конституции Российской Федерации право частной собственности охраняется законом (часть 1) и никто не может быть лишен своего имущества иначе как по решению суда (часть 3).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Формальное условие обеспечения государственной, в том числе судебной, защиты прав, возникающих из имущественных отношений, 5 объектом которых является недвижимое имущество, – государственная регистрация этих прав, которая призвана удостоверить со стороны государства юридическую силу соответствующих правоустанавливающих документов. Законодательное закрепление необходимости государственной регистрации права собственности на недвижимое имущество свидетельствует, как указывал Конституционный Суд Российской Федерации, о признании со стороны государства публично-правового интереса в установлении принадлежности недвижимого имущества конкретному лицу, чем обеспечивается защита прав других лиц, стабильность гражданского оборота и предсказуемость его развития (Постановление от 26 мая 2011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4 статьи 222 ГК Российской Федерации – как по своему буквальному смыслу, так и в системном единстве с положениями действующего гражданско-правового регулирования и с учетом правовых позиций Конституционного Суда Российской Федерации, изложенных в настоящем Определении, – не может рассматриваться как нарушающий чьи-либо конституционные права в аспекте, указанном в запросе, и противоречащий Конституции Российской Федерации, в том числе ее статьям 10, 19 (часть 1), 35 (часть 3), 46 (части 1 и 2), 54 (часть 1) и 118 (часть 1). Исходя из изложенного и руководствуясь пунктом 2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группы депутатов Государственной Думы, поскольку он не отвечает требованиям Федерального конституционного закона «О Конституционном Суде Российской Федерации», в соответствии с которыми обращение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