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Василия Владимировича на нарушение его конституционных прав пунктом 1 статьи 311 и частью 1 статьи 312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по требованию гражданина В.В.Попкова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было прекращено в связи с неподведомственностью производство по делу по иску юридического лица к гражданину В.В.Попкову о взыскании неосновательно полученных дивидендов. Впоследствии данное определение было отменено по вновь открывшимся обстоятельствам ввиду несоответствия оценки судом характера спора толкованию норм права, сформулированному в принятом позднее постановлении Президиума Высшего Арбитражного Суда Российской Федерации по аналогичному делу. 2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законоположения Постановлением Конституционного Суда Российской Федерации от 21 января 2010 года № 1- П были признаны не противоречащими Конституции Российской Федерации с учетом их конституционно-правового смысла, выявленного Конституционным Судом Российской Федерации. 3 Указанное Постановление сохраняет свою силу. Проверка же законности и обоснованности вынесенных по делу с участием заявителя судебных актов, равно как и разрешение вопроса о том, подлежали ли учету при рассмотрении данного дела правовые позиции, изложенные в Постановлении Конституционного Суда Российской Федерации от 21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Василия Владимировича,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