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151650-П/2014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Чернова Андрея Николаевича на нарушение его конституционных прав статьями 20.1, 29.9 и 29.10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В.Г.Ярославцева, рассмотрев вопрос о возможности принятия жалобы гражданина А.Н.Чернова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А.Н.Черновым материалы, не находит оснований для принятия его жалобы к рассмотрению. Оспариваемые законоположения предусматривают административную ответственность за мелкое хулиганство (статья 20.1 КоАП Российской Федерации), а также устанавливают виды решений, выносимых по результатам рассмотрения дела об административном правонарушении, и содержание постановления по делу об административном правонарушении (статьи 29.9 и 29.10 КоАП Российской Федерации). Указанные нормы не регулируют порядок проведения следственных действий по уголовному делу, а потому не могут рассматриваться как нарушающие конституционные права заявителя в указанном им аспекте. Проверка же законности и обоснованности таких действий к компетенции Конституционного Суда Российской Федерации не относится (статья 125 Конституции Российской Федерации и статья 3 Федерального конституционного закона «О Конституционном Суде Российской Федерации»).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Чернова Андрея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