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607-П/2012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Клыковой Ольги Васильевны на нарушение ее конституционных прав пунктом 4 постановления Правительства Москвы «Об организации продажи с рассрочкой платежа жилых помещений, принадлежащих на праве собственности городу Москве»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по требованию гражданки О.В.Клыковой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заявительницей материалы, не находит оснований для принятия ее жалобы к рассмотрению, поскольку в компетенцию Конституционного Суда Российской Федерации, как она установлена статьей 125 Конституции Российской Федерации и статьей 3 Федерального конституционного закона «О Конституционном Суде Российской Федерации», проверка по жалобам граждан конституционности подзаконных нормативных актов субъектов Российской Федерации не входит. Исходя из изложенного и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Клыковой Ольги Васильевны, поскольку разрешение поставленного заявительницей вопроса Конституционному Суду Российской Федерации неподведомственно.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