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282-П/2011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Боброва Николая Ивановича на нарушение его конституционных прав частью первой статьи 412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Н.В.Селезнева, О.С.Хохряковой, В.Г.Ярославцева, рассмотрев по требованию гражданина Н.И.Боброва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412 УПК Российской Федерации о внесении повторных надзорных жалоб или представлений в суд надзорной инстанции, ранее оставивший их без удовлетворения, во взаимосвязи с частью четвертой статьи 406 того же Кодекса не препятствует лицу в случае несогласия с постановлением судьи суда надзорной инстанции об отказе в удовлетворении его надзорной жалобы обратиться к председателю этого суда либо его заместителям с просьбой об отмене данного постановления (определения Конституционного Суда Российской Федерации от 18 июля 2006 года № 282- О, от 21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Боброва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