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88968-П/2012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Кривцова Евгения Валерьевича на нарушение его конституционных прав положениями статьи 386, 387 и частью первой1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гражданина Е.В.Кривцова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президиума Волгоградского областного суда от 10 ноября 2010 года отменены судебные постановления судов первой и кассационной инстанций в части отказа в удовлетворении иска Территориального управления Федерального агентства по управлению государственным имуществом в Волгоградской области к гражданину Е.В.Кривцову и другим лицам о признании права государственной собственности Российской Федерации и истребовании имущества из чужого незаконного владения и вынесено новое решение о признании права 2 государственной собственности Российской Федерации на объекты недвижимого имущества.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Статьями 381–383 ГПК Российской Федерации предусматривается предварительное рассмотрение судьями надзорных жалоб (представлений). 3 На этом обязательном этапе надзорного производства, представляющем собой процедуру допуска (фильтрации) надзорных жалоб (представлений), определяются правовые основания для дальнейшего движения дела (передачи надзорной жалобы или представления с делом для рассмотрения в судебном заседании суда надзорной инстанции) исходя из доводов, изложенных в жалобе (представлении), и содержания обжалуемых судебных постановлений (материалов истребованного дела). Поскольку на данном этапе производства в суде надзорной инстанции решается лишь вопрос о возможности передачи надзорной жалобы, представления прокурора для рассмотрения в судебном заседании суда надзорной инстанции, участие судьи, который изучал надзорную жалобу, представление прокурора на основании предписаний статьи 3801 ГПК Российской Федерации, в заседании суда надзорной инстанции, рассматривающего данную надзорную жалобу, представление прокурора, не может быть признано нарушающим принципы независимости и беспристрастности судей при осуществлении правосудия. Кроме того, соблюдение данных принципов в суде надзорной инстанции обеспечивается наличием у лица, участвующего в деле, права заявить судье отвод в судебном заседании суда надзорной инстанции на основании пункта 3 части первой статьи 16 ГПК Российской Федерации, если имеются основания полагать, что он лично, прямо или косвенно, заинтересован в исходе гражданского дела. Такое право предусмотрено процессуальным законом (статья 19 ГПК Российской Федерации). Таким образом, конституционные права заявителя положениями статьи 386 ГПК Российской Федерации нарушены не были.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Кривцова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