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95080-П/2012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Калиева Рамиля Ураловича на нарушение его конституционных прав частью шестой статьи 86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рассмотрев по требованию гражданина Р.У.Калиева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 совершение ряда преступлений суд назначил гражданину Р.У.Калиеву наказание исходя из наличия в его действиях особо опасного рецидива. Постановлением суда от 13 мая 2011 года в связи с изданием нового уголовного закона, имеющего обратную силу (Федеральный закон от 7 марта 2011 года № 26-ФЗ), наказание, назначенное Р.У.Калиеву, было снижено на три месяца. При этом довод ходатайства Р.У.Калиева о необходимости учета погашения его судимости по предыдущему приговору был отклонен на том основании, что наличие либо отсутствие судимости 2 учитывается на момент совершения преступления и погашение прежней судимости во время отбывания наказания не имеет юридического значения. Правильность данного вывода была подтверждена судом кассационной инстанции. В своей жалобе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Статьей 86 УК Российской Федерации предусмотрено, что лицо, осужденное за совершение преступления, считается судимым со дня вступления обвинительного приговора суда в законную силу до момента погашения или снятия судимости, которая в соответствии с этим Кодексом учитывается при рецидиве преступлений, назначении наказания и влечет за собой иные правовые последствия в установленных федеральными законами случаях и порядке (часть первая), а также регламентированы сроки погашения судимости (части третья и четвертая) и закреплена возможность досрочного снятия судимости (часть пятая). Согласно же части первой статьи 18 УК Российской Федерации рецидивом преступлений признается совершение умышленного преступления лицом, имеющим судимость за ранее совершенное умышленное преступление, что предполагает наличие судимости на момент совершения преступления. Предусмотренные Уголовным кодексом Российской Федерации уголовно-правовые последствия прежней судимости при осуждении 3 виновного лица за совершение нового преступления не выходят за рамки уголовно-правовых средств, которые федеральный законодатель вправе использовать для достижения конституционно оправданных целей дифференциации уголовной ответственности и наказания, усиления его исправительного воздействия на осужденного, предупреждения новых преступлений и тем самым – защиты личности, общества и государства от преступных посягательств (Постановление Конституционного Суда Российской Федерации от 19 марта 2003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Калиева Рамиля Ураловича,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