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925468-О/2026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Крижевской Вероники Викторовны на нарушение ее конституционных прав статьей 19, а также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В.В.Крижевской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В.В.Крижевская оспаривает конституционность статьи 19 «Заинтересованные лица», а также пункта 2 статьи 612 «Оспаривание подозрительных сделок должника»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хозяйственного общества определением арбитражного суда, с которым согласились суды вышестоящих инстанций, помимо прочего признана недействительной цепочка сделок, в том числе договор купли-продажи между заявительницей и гражданином С.; на В.В.Крижевскую возложена обязанность 2 возвратить имущество в конкурсную массу. Суды, в частности, пришли к выводу о том, что оспариваемая цепочка сделок представляет собой единую сделку, прикрывающую вывод ликвидных активов должника в целях исключения возможности их реализации для удовлетворения требований кредиторов, и совершена со злоупотреблением правом аффилированными лицами, которые не могли не осознавать, что принятие в собственность имущества должника на условиях фактической безвозмездности нарушает права его кредиторов. По мнению заявительницы, оспариваемые нормы противоречат Конституции Российской Федерации, ее статье 46, поскольку позволяют суду произвольно признавать заинтересованными лиц, в прошлом являющихся аффилированными по отношению к должнику.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Крижевской Вероники Викторовны,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