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925373-О/2026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Долгиной Натальи Юрьевны на нарушение ее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Н.Ю.Долгиной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Н.Ю.Долгина оспаривает конституционность пункта 1 статьи 152 «Защита чести, достоинства и деловой репутации» ГК Российской Федерации. Как следует из представленных материалов, апелляционным определением суда общей юрисдикции, с которым согласились суды вышестоящих инстанций, в том числе судья Верховного Суда Российской Федерации, отменено решение суда первой инстанции и вынесено новое решение об отказе в удовлетворении исковых требований заявительницы о защите чести, достоинства, деловой репутации и взыскании компенсации морального вреда. 2 По мнению Н.Ю.Долгиной, оспариваемая норма противоречит статьям 17 (часть 1), 21 (часть 1), 23 (часть 1) и 46 (часть 1) Конституции Российской Федерации в той части, в какой она по смыслу, придаваемому ей правоприменительной практикой, допускает возможность нарушения прав заявительницы на защиту чести, достоинства и деловой репутации.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Долгиной Натальи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