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925499-П/2026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«Берингпромуголь» на нарушение его конституционных прав статьями 2911 и 29114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«Берингпромуголь»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«Берингпромуголь» (далее также – ООО «Берингпромуголь») оспаривает конституционность статей 2911 «Порядок подачи кассационных жалобы, представления в Судебную коллегию Верховного Суда Российской Федерации» и 29114 «Полномочия Судебной коллегии Верховного Суда Российской Федерации по результатам рассмотрения кассационных жалобы, представления вместе с делом» АПК Российской Федерации. Как следует из представленных материалов, постановлением арбитражного суда округа отменены акты нижестоящих арбитражных судов, 2 дело с участием ООО «Берингпромуголь» направлено на новое рассмотрение в арбитражный суд первой инстанции. Определением Судебной коллегии по экономическим спорам Верховного Суда Российской Федерации указанное постановление арбитражного суда кассационной инстанции отменено, акты арбитражных судов первой и апелляционной инстанций оставлены в силе. По мнению заявителя, оспариваемые законоположения по смыслу, придаваемому им сложившейся правоприменительной практикой, противоречат Конституции Российской Федерации, ее статьям 19 (часть 1), 46 (части 1 и 2), 52 и 123 (часть 3), поскольку позволяют Верховному Суду Российской Федерации принять к производству кассационную жалобу и по результатам ее рассмотрения отменить судебный акт арбитражного суда округа, которым дело не разрешено по существу, а направлено на новое рассмотрение в связи с неполным и неправильным установлением его фактических обстоятельств, и тем самым допускают возможность оставления в силе судебных актов, основанных на неполно исследованных фактических обстоятельствах, без устранения выявленных арбитражных судом округа нарушений.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2911 и 29114 АПК Российской Федерации регламентируют процедуру кассационного производства в Судебной коллегии Верховного Суда Российской Федерации. Данные нормы в системной связи с другими положениями главы 35 указанного Кодекса призваны обеспечить реализацию полномочий Верховного Суда Российской Федерации по исправлению судебных ошибок, в том числе если они допущены арбитражным судом округа, а потому не могут расцениваться в качестве нарушающих конституционные права заявителя в обозначенном в жалобе аспекте, также и с учетом предусмотренной пунктом 3 части 3 статьи 3081 АПК Российской Федерации возможности подачи надзорной жалобы на определение 3 Судебной коллегии Верховного Суда Российской Федерации, вынесенное в порядке кассационного производства.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«Берингпромуголь»,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