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925491-О/2026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Харенко Джульетты Эдуардовны на нарушение ее конституционных прав статьями 3907, 3909 и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Д.Э.Харенко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Д.Э.Харенко, которой определением судьи Верховного Суда Российской Федерации было отказано в передаче кассационной жалобы для рассмотрения в судебном заседании суда кассационной инстанции, с чем согласился заместитель Председателя этого суда, оспаривает конституционность статей 3907 «Рассмотрение кассационных жалобы, представления», 3909 «Определение судьи об отказе в передаче кассационных жалобы, представления для рассмотрения в судебном заседании суда кассационной инстанции» и 39013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2 По мнению Д.Э.Харенко, практика применения судами оспариваемых законоположений противоречит статьям 38 (части 1 и 2) и 46 (часть 1) Конституции Российской Федерации. Кроме того, заявительница ставит ряд вопросов, не касающихся проверки конституционности нормативных правовых актов.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Харенко Джульетты Эдуардовны,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