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925567-О/2026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Зайцевой Лилии Юрьевны на нарушение ее конституционных прав пунктом 1 статьи 200 и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Л.Ю.Зайцевой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Л.Ю.Зайцева оспаривает конституционность пункта 1 статьи 200 ГК Российской Федерации, в соответствии с которым,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а также пункта 1 статьи 302 того же Кодекса, предусматривающего, что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2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Из представленных материалов следует, что решением суда общей юрисдикции, оставленным без изменения определением суда апелляционной инстанции, среди прочего, по иску гражданки С. от Л.Ю.Зайцевой истребовано жилое помещение, приобретенное ею по договору купли- продажи в апреле 2015 года у гражданина П. Суды, сославшись на приговор, вынесенный в отношении П. судом апелляционной инстанции в июне 2022 года, посчитали, что С. не пропустила срок исковой давности. При этом суды отклонили доводы Л.Ю.Зайцевой о том, что о нарушении своих прав С., защищавшая свои права в судебном порядке с 2014 года и признанная потерпевшей в 2018 году, узнала ранее. Суд первой инстанции подчеркнул, что Л.Ю.Зайцева может потребовать от П. возмещения убытков. Оставляя постановления судов первой и апелляционной инстанций без изменения, кассационный суд общей юрисдикции сослался, в частности, на пункт 1 статьи 204 «Течение срока исковой давности при защите нарушенного права в судебном порядке» ГК Российской Федерации.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оспариваемые нормы противоречат статьям 15, 19 (части 1 и 2), 35 (часть 1), 40 (часть 1), 45, 46 (часть 1) и 55 (части 1 и 3) Конституции Российской Федерации, поскольку по смыслу, придаваемому им правоприменительной практикой, они позволяют исчислять срок исковой давности по требованию об истребовании имущества от добросовестного приобретателя с момента, в который установлена виновность лица, противоправно завладевшего спорным имуществом, и не учитывать, что ответчик открыто владел этим имуществом до вступления приговора суда в 3 законную силу, если одна из предыдущих сделок с имуществом признана недействительной после его приобретения последним приобретателем.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Конституционного Суда Российской Федерации от 21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Зайцевой Лилии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