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статьей 1815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статьи 1815 «Ничтожность решения собрания» ГК Российской Федерации. Как следует из представленных материалов, А.Г.Пименов является собственником квартиры в многоквартирном доме, фактическое управление которым осуществлял специализированный потребительский кооператив. Решением мирового судьи, оставленным без изменения судами вышестоящих инстанций, с заявителя взыскана задолженность по оплате жилищно- коммунальных и иных услуг, включенных в единый платежный документ, при этом также была констатирована ничтожность решения общего собрания собственников помещений в доме о выборе управления названным кооперативом ввиду отсутствия кворума. 2 По мнению А.Г.Пименова, оспариваемое законоположение противоречит статье 19 (часть 1) Конституции Российской Федерации, поскольку не препятствует удовлетворению основанных на ничтожном решении собрания требований к участникам соответствующего гражданско- правового сообщества.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Правовое регулирование, установленное статьей 1815 ГК Российской Федерации, определяющей основания отнесения решений собраний, с которыми закон связывает гражданско-правовые последствия для участников соответствующего гражданско-правового сообщества, к категории ничтожных, призвано обеспечить защиту прав и законных интересов участников гражданско-правового сообщества, а также создает этим лицам условия для выражения их действительной воли. При этом управление многоквартирным домом, как указано в части 1 статьи 161 Жилищного кодекса Российской Федерации,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 или в установленных законом случаях обеспечение готовности инженерных систем. Осуществление соответствующей деятельности специализированной организацией отвечает интересам собственников. В этом отношении признание решения их общего собрания о выборе такой организации недействительным не исключает несения собственниками бремени содержания принадлежащего им имущества и обязанности оплаты оказанных им услуг, несмотря на то, что ничтожное решение собрания правовым основанием для взимания платы за коммунальные услуги не является. Удовлетворяя требование о взыскании с А.Г.Пименова задолженности, суды определили ее размер согласно ранее действовавшему тарифу, 3 утвержденному собственниками, и установили, что кооператив услугу в интересах собственников оказал, а доказательств ее ненадлежащего качества не представлено. Таким образом, статья 1815 ГК Российской Федерации не может рассматриваться в качестве нарушающей в указанном в жалобе аспекте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