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Янца Валерия Олеговича на нарушение его конституционных прав частями первой и второй статьи 4121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В.О.Янца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Очередное обращение в интересах гражданина В.О.Янца, отбывающего наказание в виде пожизненного лишения свободы, расценено в качестве повторной надзорной жалобы и возвращено без рассмотрения письмом судьи Верховного Суда Российской Федерации от 29 декабря 2025 года. При этом разъяснено, что правомерность вынесенных в его отношении судебных решений, в том числе по аналогичным доводам, ранее уже неоднократно выступала предметом проверки в Верховном Суде Российской Федерации. 2 В.О.Янц утверждает, что части первая и вторая статьи 4121 «Пересмотр судебных решений в порядке надзора» УПК Российской Федерации противоречат Конституции Российской Федерации, в том числе ее статьям 1, 2, 17, 18, 19 (часть 1), 46 (части 1 и 2), 50 (часть 3), 118 (часть 1), 120 (часть 1) и 123 (часть 3), поскольку препятствуют исправлению неправосудного судебного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Янца Валерия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