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Гущина Сергея Григорьевича на нарушение его конституционных прав статьей 125 и частью первой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С.Г.Гущина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С.Г.Гущин, неоднократно обращавшийся в суд с жалобами в порядке статьи 125 «Судебный порядок рассмотрения жалоб» УПК Российской Федерации и в прокуратуру с заявлениями о возобновлении производства по уголовному делу ввиду новых или вновь открывшихся обстоятельств, просит признать данную статью и часть первую статьи 413 «Основания возобновления производства по уголовному делу ввиду новых или вновь открывшихся обстоятельств» УПК Российской Федерации не соответствующими статьям 23, 45 и 46 Конституции Российской Федерации 2 в той мере, в какой они не позволяют проверить в порядке судебного контроля решение прокурора об отказе в возбуждении производства ввиду новых или вновь открывшихся обстоятельств применительно к судебным решениям, принятым в порядке статьи 125 УПК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статьи 125 и части первой статьи 413 УПК Российской Федерации в аналогичном аспекте уже ставился С.Г.Гущиным в его предшествующей жалобе, по которой Конституционным Судом Российской Федерации вынесено Определение от 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Гущина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