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926226-П/2026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Слободенюка Владимира Борисовича на нарушение его конституционных прав частью 3 статьи 28.6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В.Б.Слободенюка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В.Б.Слободенюк оспаривает конституционность части 3 статьи 28.6 «Назначение административного наказания без составления протокола» КоАП Российской Федерации. Как следует из представленных материалов, постановлением уполномоченного должностного лица В.Б.Слободенюк как собственник транспортного средства был привлечен к административной ответственности за превышение установленной скорости движения (часть 2 статьи 12.9 КоАП Российской Федерации). Определением судьи районного суда, оставленным без изменения судьями вышестоящих судов, отказано в удовлетворении 2 ходатайства заявителя о восстановлении срока обжалования постановления по делу об административном правонарушении. Довод В.Б.Слободенюка о смене места жительства более трех лет назад до момента фиксации административного правонарушения был отклонен, поскольку, как отметили суды, заявитель не исполнил предусмотренную законодательством о регистрации транспортных средств обязанность владельца транспортного средства обратиться с заявлением в регистрационное подразделение для внесения изменений в регистрационные данные транспортного средства, к которым относится место жительства физического лица – владельца транспортного средства. По мнению заявителя, оспариваемое законоположение не соответствует статьям 2, 18, 19, 45 (часть 1) и 46 (часть 1) Конституции Российской Федерации, поскольку позволяет игнорировать сведения, содержащиеся в базе данных регистрационного учета граждан Российской Федерации по месту пребывания и по месту жительства в пределах Российской Федерации, при определении почтового адреса места жительства лица, привлекаемого к административной ответственности, для направления ему копии постановления по делу об административном правонарушении на бумажном носителе.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Слободенюка Владимира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